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1E80DC">
      <w:pPr>
        <w:jc w:val="center"/>
        <w:rPr>
          <w:rFonts w:hint="default" w:ascii="Arial" w:hAnsi="Arial"/>
          <w:b/>
          <w:bCs/>
          <w:sz w:val="32"/>
          <w:szCs w:val="32"/>
          <w:vertAlign w:val="superscript"/>
          <w:lang w:val="ru-RU"/>
        </w:rPr>
      </w:pPr>
      <w:r>
        <w:rPr>
          <w:rFonts w:hint="default" w:ascii="Arial" w:hAnsi="Arial"/>
          <w:b/>
          <w:bCs/>
          <w:sz w:val="32"/>
          <w:szCs w:val="32"/>
          <w:vertAlign w:val="superscript"/>
          <w:lang w:val="ru-RU"/>
        </w:rPr>
        <w:t xml:space="preserve">DEVELOPMENT OF </w:t>
      </w:r>
      <w:r>
        <w:rPr>
          <w:rFonts w:hint="default" w:ascii="Arial" w:hAnsi="Arial"/>
          <w:b/>
          <w:bCs/>
          <w:sz w:val="32"/>
          <w:szCs w:val="32"/>
          <w:vertAlign w:val="superscript"/>
          <w:lang w:val="en-US"/>
        </w:rPr>
        <w:t>U</w:t>
      </w:r>
      <w:r>
        <w:rPr>
          <w:rFonts w:hint="default" w:ascii="Arial" w:hAnsi="Arial"/>
          <w:b/>
          <w:bCs/>
          <w:sz w:val="32"/>
          <w:szCs w:val="32"/>
          <w:vertAlign w:val="superscript"/>
          <w:lang w:val="ru-RU"/>
        </w:rPr>
        <w:t>PF AS A BINDING COMPONENT IN MENZOLIT BMC 3102 COMPOSITE MATERIAL FOR HEADLIGHT REFLECTORS</w:t>
      </w:r>
    </w:p>
    <w:p w14:paraId="08B89138">
      <w:pPr>
        <w:jc w:val="both"/>
        <w:rPr>
          <w:rFonts w:ascii="Arial" w:hAnsi="Arial" w:cs="Arial"/>
          <w:sz w:val="24"/>
          <w:szCs w:val="24"/>
          <w:lang w:val="ru-RU"/>
        </w:rPr>
      </w:pPr>
      <w:r>
        <w:rPr>
          <w:rFonts w:ascii="Arial" w:hAnsi="Arial" w:cs="Arial"/>
          <w:b/>
          <w:bCs/>
          <w:sz w:val="24"/>
          <w:szCs w:val="24"/>
          <w:vertAlign w:val="superscript"/>
          <w:lang w:val="ru-RU"/>
        </w:rPr>
        <w:t xml:space="preserve">1 </w:t>
      </w:r>
      <w:r>
        <w:rPr>
          <w:rFonts w:hint="default" w:ascii="Arial" w:hAnsi="Arial" w:eastAsia="SimSun" w:cs="Arial"/>
          <w:sz w:val="24"/>
          <w:szCs w:val="24"/>
        </w:rPr>
        <w:t>Violetta A. Akbarova (responsible author),</w:t>
      </w:r>
      <w:r>
        <w:rPr>
          <w:rFonts w:ascii="Arial" w:hAnsi="Arial" w:cs="Arial"/>
          <w:b/>
          <w:bCs/>
          <w:sz w:val="24"/>
          <w:szCs w:val="24"/>
          <w:lang w:val="ru-RU"/>
        </w:rPr>
        <w:t xml:space="preserve"> </w:t>
      </w:r>
      <w:r>
        <w:rPr>
          <w:rFonts w:ascii="Arial" w:hAnsi="Arial" w:cs="Arial"/>
          <w:b/>
          <w:bCs/>
          <w:sz w:val="24"/>
          <w:szCs w:val="24"/>
          <w:vertAlign w:val="superscript"/>
          <w:lang w:val="ru-RU"/>
        </w:rPr>
        <w:t>2</w:t>
      </w:r>
      <w:r>
        <w:rPr>
          <w:rFonts w:hint="default" w:ascii="Arial" w:hAnsi="Arial" w:cs="Arial"/>
          <w:b/>
          <w:bCs/>
          <w:sz w:val="24"/>
          <w:szCs w:val="24"/>
          <w:vertAlign w:val="superscript"/>
          <w:lang w:val="ru-RU"/>
        </w:rPr>
        <w:t xml:space="preserve"> </w:t>
      </w:r>
      <w:r>
        <w:rPr>
          <w:rFonts w:hint="default" w:ascii="Arial" w:hAnsi="Arial" w:eastAsia="SimSun" w:cs="Arial"/>
          <w:sz w:val="24"/>
          <w:szCs w:val="24"/>
        </w:rPr>
        <w:t xml:space="preserve">Asror B. </w:t>
      </w:r>
      <w:r>
        <w:rPr>
          <w:rFonts w:hint="default" w:ascii="Arial" w:hAnsi="Arial" w:eastAsia="SimSun" w:cs="Arial"/>
          <w:sz w:val="24"/>
          <w:szCs w:val="24"/>
          <w:lang w:val="en-US"/>
        </w:rPr>
        <w:t>J</w:t>
      </w:r>
      <w:r>
        <w:rPr>
          <w:rFonts w:hint="default" w:ascii="Arial" w:hAnsi="Arial" w:eastAsia="SimSun" w:cs="Arial"/>
          <w:sz w:val="24"/>
          <w:szCs w:val="24"/>
        </w:rPr>
        <w:t>uraev, Doctor of Technical Sciences, Professor</w:t>
      </w:r>
    </w:p>
    <w:p w14:paraId="1369C152">
      <w:pPr>
        <w:jc w:val="both"/>
        <w:rPr>
          <w:rFonts w:ascii="Arial" w:hAnsi="Arial" w:cs="Arial"/>
          <w:b/>
          <w:bCs/>
          <w:sz w:val="24"/>
          <w:szCs w:val="24"/>
          <w:lang w:val="ru-RU"/>
        </w:rPr>
      </w:pPr>
    </w:p>
    <w:p w14:paraId="20FAEEED">
      <w:pPr>
        <w:jc w:val="both"/>
        <w:rPr>
          <w:rFonts w:hint="default" w:ascii="Arial" w:hAnsi="Arial" w:cs="Arial"/>
          <w:bCs/>
          <w:sz w:val="16"/>
          <w:szCs w:val="16"/>
          <w:lang w:val="ru-RU"/>
        </w:rPr>
      </w:pPr>
      <w:r>
        <w:rPr>
          <w:rFonts w:ascii="Arial" w:hAnsi="Arial" w:cs="Arial"/>
          <w:bCs/>
          <w:sz w:val="16"/>
          <w:szCs w:val="16"/>
          <w:vertAlign w:val="superscript"/>
          <w:lang w:val="ru-RU"/>
        </w:rPr>
        <w:t>1</w:t>
      </w:r>
      <w:r>
        <w:rPr>
          <w:rFonts w:hint="default" w:ascii="Arial" w:hAnsi="Arial" w:eastAsia="SimSun" w:cs="Arial"/>
          <w:sz w:val="16"/>
          <w:szCs w:val="16"/>
        </w:rPr>
        <w:t>Branch of the D.I. Mendeleev Russian University of Chemical Technology in Tashkent, Mirzo Ulugbek district, Tashkent, Republic of Uzbekistan, 100142</w:t>
      </w:r>
    </w:p>
    <w:p w14:paraId="6A9B80CE">
      <w:pPr>
        <w:jc w:val="both"/>
        <w:rPr>
          <w:rFonts w:ascii="Arial" w:hAnsi="Arial" w:cs="Arial"/>
          <w:bCs/>
          <w:lang w:val="ru-RU"/>
        </w:rPr>
      </w:pPr>
      <w:r>
        <w:rPr>
          <w:rFonts w:ascii="Arial" w:hAnsi="Arial" w:cs="Arial"/>
          <w:bCs/>
          <w:sz w:val="16"/>
          <w:szCs w:val="16"/>
          <w:vertAlign w:val="superscript"/>
          <w:lang w:val="ru-RU"/>
        </w:rPr>
        <w:t xml:space="preserve">2 </w:t>
      </w:r>
      <w:r>
        <w:rPr>
          <w:rFonts w:hint="default" w:ascii="Arial" w:hAnsi="Arial" w:eastAsia="SimSun" w:cs="Arial"/>
          <w:sz w:val="16"/>
          <w:szCs w:val="16"/>
        </w:rPr>
        <w:t>Tashkent Institute of Chemical Technology, Mirzo Ulugbek district, Tashkent, Republic of Uzbekistan, 100007</w:t>
      </w:r>
    </w:p>
    <w:p w14:paraId="60C9D3D5">
      <w:pPr>
        <w:jc w:val="both"/>
        <w:rPr>
          <w:rFonts w:hint="default" w:ascii="Arial" w:hAnsi="Arial" w:cs="Arial"/>
          <w:sz w:val="16"/>
          <w:szCs w:val="16"/>
          <w:lang w:val="ru-RU"/>
        </w:rPr>
      </w:pPr>
      <w:r>
        <w:rPr>
          <w:rFonts w:hint="default" w:ascii="Arial" w:hAnsi="Arial" w:cs="Arial"/>
          <w:b/>
          <w:bCs/>
          <w:color w:val="000000"/>
          <w:sz w:val="16"/>
          <w:szCs w:val="16"/>
        </w:rPr>
        <w:t>E</w:t>
      </w:r>
      <w:r>
        <w:rPr>
          <w:rFonts w:hint="default" w:ascii="Arial" w:hAnsi="Arial" w:cs="Arial"/>
          <w:b/>
          <w:bCs/>
          <w:color w:val="000000"/>
          <w:sz w:val="16"/>
          <w:szCs w:val="16"/>
          <w:lang w:val="ru-RU"/>
        </w:rPr>
        <w:t>-</w:t>
      </w:r>
      <w:r>
        <w:rPr>
          <w:rFonts w:hint="default" w:ascii="Arial" w:hAnsi="Arial" w:cs="Arial"/>
          <w:b/>
          <w:bCs/>
          <w:color w:val="000000"/>
          <w:sz w:val="16"/>
          <w:szCs w:val="16"/>
        </w:rPr>
        <w:t>mail</w:t>
      </w:r>
      <w:r>
        <w:rPr>
          <w:rFonts w:hint="default" w:ascii="Arial" w:hAnsi="Arial" w:cs="Arial"/>
          <w:b/>
          <w:bCs/>
          <w:color w:val="000000"/>
          <w:sz w:val="16"/>
          <w:szCs w:val="16"/>
          <w:lang w:val="ru-RU"/>
        </w:rPr>
        <w:t>:</w:t>
      </w:r>
      <w:r>
        <w:rPr>
          <w:rFonts w:hint="default" w:ascii="Arial" w:hAnsi="Arial" w:cs="Arial"/>
          <w:color w:val="000000"/>
          <w:sz w:val="16"/>
          <w:szCs w:val="16"/>
          <w:lang w:val="ru-RU"/>
        </w:rPr>
        <w:t xml:space="preserve"> </w:t>
      </w:r>
      <w:r>
        <w:rPr>
          <w:rFonts w:hint="default" w:ascii="Arial" w:hAnsi="Arial" w:cs="Arial"/>
          <w:sz w:val="16"/>
          <w:szCs w:val="16"/>
        </w:rPr>
        <w:fldChar w:fldCharType="begin"/>
      </w:r>
      <w:r>
        <w:rPr>
          <w:rFonts w:hint="default" w:ascii="Arial" w:hAnsi="Arial" w:cs="Arial"/>
          <w:sz w:val="16"/>
          <w:szCs w:val="16"/>
          <w:lang w:val="ru-RU"/>
        </w:rPr>
        <w:instrText xml:space="preserve"> </w:instrText>
      </w:r>
      <w:r>
        <w:rPr>
          <w:rFonts w:hint="default" w:ascii="Arial" w:hAnsi="Arial" w:cs="Arial"/>
          <w:sz w:val="16"/>
          <w:szCs w:val="16"/>
        </w:rPr>
        <w:instrText xml:space="preserve">HYPERLINK</w:instrText>
      </w:r>
      <w:r>
        <w:rPr>
          <w:rFonts w:hint="default" w:ascii="Arial" w:hAnsi="Arial" w:cs="Arial"/>
          <w:sz w:val="16"/>
          <w:szCs w:val="16"/>
          <w:lang w:val="ru-RU"/>
        </w:rPr>
        <w:instrText xml:space="preserve"> "</w:instrText>
      </w:r>
      <w:r>
        <w:rPr>
          <w:rFonts w:hint="default" w:ascii="Arial" w:hAnsi="Arial" w:cs="Arial"/>
          <w:sz w:val="16"/>
          <w:szCs w:val="16"/>
        </w:rPr>
        <w:instrText xml:space="preserve">mailto</w:instrText>
      </w:r>
      <w:r>
        <w:rPr>
          <w:rFonts w:hint="default" w:ascii="Arial" w:hAnsi="Arial" w:cs="Arial"/>
          <w:sz w:val="16"/>
          <w:szCs w:val="16"/>
          <w:lang w:val="ru-RU"/>
        </w:rPr>
        <w:instrText xml:space="preserve">:</w:instrText>
      </w:r>
      <w:r>
        <w:rPr>
          <w:rFonts w:hint="default" w:ascii="Arial" w:hAnsi="Arial" w:cs="Arial"/>
          <w:sz w:val="16"/>
          <w:szCs w:val="16"/>
        </w:rPr>
        <w:instrText xml:space="preserve">violettaakbarova</w:instrText>
      </w:r>
      <w:r>
        <w:rPr>
          <w:rFonts w:hint="default" w:ascii="Arial" w:hAnsi="Arial" w:cs="Arial"/>
          <w:sz w:val="16"/>
          <w:szCs w:val="16"/>
          <w:lang w:val="ru-RU"/>
        </w:rPr>
        <w:instrText xml:space="preserve">212@</w:instrText>
      </w:r>
      <w:r>
        <w:rPr>
          <w:rFonts w:hint="default" w:ascii="Arial" w:hAnsi="Arial" w:cs="Arial"/>
          <w:sz w:val="16"/>
          <w:szCs w:val="16"/>
        </w:rPr>
        <w:instrText xml:space="preserve">gmail</w:instrText>
      </w:r>
      <w:r>
        <w:rPr>
          <w:rFonts w:hint="default" w:ascii="Arial" w:hAnsi="Arial" w:cs="Arial"/>
          <w:sz w:val="16"/>
          <w:szCs w:val="16"/>
          <w:lang w:val="ru-RU"/>
        </w:rPr>
        <w:instrText xml:space="preserve">.</w:instrText>
      </w:r>
      <w:r>
        <w:rPr>
          <w:rFonts w:hint="default" w:ascii="Arial" w:hAnsi="Arial" w:cs="Arial"/>
          <w:sz w:val="16"/>
          <w:szCs w:val="16"/>
        </w:rPr>
        <w:instrText xml:space="preserve">com</w:instrText>
      </w:r>
      <w:r>
        <w:rPr>
          <w:rFonts w:hint="default" w:ascii="Arial" w:hAnsi="Arial" w:cs="Arial"/>
          <w:sz w:val="16"/>
          <w:szCs w:val="16"/>
          <w:lang w:val="ru-RU"/>
        </w:rPr>
        <w:instrText xml:space="preserve">" </w:instrText>
      </w:r>
      <w:r>
        <w:rPr>
          <w:rFonts w:hint="default" w:ascii="Arial" w:hAnsi="Arial" w:cs="Arial"/>
          <w:sz w:val="16"/>
          <w:szCs w:val="16"/>
        </w:rPr>
        <w:fldChar w:fldCharType="separate"/>
      </w:r>
      <w:r>
        <w:rPr>
          <w:rStyle w:val="13"/>
          <w:rFonts w:hint="default" w:ascii="Arial" w:hAnsi="Arial" w:cs="Arial"/>
          <w:sz w:val="16"/>
          <w:szCs w:val="16"/>
        </w:rPr>
        <w:t>violettaakbarova</w:t>
      </w:r>
      <w:r>
        <w:rPr>
          <w:rStyle w:val="13"/>
          <w:rFonts w:hint="default" w:ascii="Arial" w:hAnsi="Arial" w:cs="Arial"/>
          <w:sz w:val="16"/>
          <w:szCs w:val="16"/>
          <w:lang w:val="ru-RU"/>
        </w:rPr>
        <w:t>212@</w:t>
      </w:r>
      <w:r>
        <w:rPr>
          <w:rStyle w:val="13"/>
          <w:rFonts w:hint="default" w:ascii="Arial" w:hAnsi="Arial" w:cs="Arial"/>
          <w:sz w:val="16"/>
          <w:szCs w:val="16"/>
        </w:rPr>
        <w:t>gmail</w:t>
      </w:r>
      <w:r>
        <w:rPr>
          <w:rStyle w:val="13"/>
          <w:rFonts w:hint="default" w:ascii="Arial" w:hAnsi="Arial" w:cs="Arial"/>
          <w:sz w:val="16"/>
          <w:szCs w:val="16"/>
          <w:lang w:val="ru-RU"/>
        </w:rPr>
        <w:t>.</w:t>
      </w:r>
      <w:r>
        <w:rPr>
          <w:rStyle w:val="13"/>
          <w:rFonts w:hint="default" w:ascii="Arial" w:hAnsi="Arial" w:cs="Arial"/>
          <w:sz w:val="16"/>
          <w:szCs w:val="16"/>
        </w:rPr>
        <w:t>com</w:t>
      </w:r>
      <w:r>
        <w:rPr>
          <w:rStyle w:val="13"/>
          <w:rFonts w:hint="default" w:ascii="Arial" w:hAnsi="Arial" w:cs="Arial"/>
          <w:sz w:val="16"/>
          <w:szCs w:val="16"/>
        </w:rPr>
        <w:fldChar w:fldCharType="end"/>
      </w:r>
      <w:r>
        <w:rPr>
          <w:rFonts w:hint="default" w:ascii="Arial" w:hAnsi="Arial" w:cs="Arial"/>
          <w:sz w:val="16"/>
          <w:szCs w:val="16"/>
          <w:lang w:val="ru-RU"/>
        </w:rPr>
        <w:t xml:space="preserve"> </w:t>
      </w:r>
      <w:r>
        <w:rPr>
          <w:rFonts w:hint="default" w:ascii="Arial" w:hAnsi="Arial"/>
          <w:b/>
          <w:bCs/>
          <w:sz w:val="16"/>
          <w:szCs w:val="16"/>
          <w:lang w:val="ru-RU"/>
        </w:rPr>
        <w:t>(author for contact)</w:t>
      </w:r>
      <w:r>
        <w:rPr>
          <w:rFonts w:hint="default" w:ascii="Arial" w:hAnsi="Arial" w:cs="Arial"/>
          <w:sz w:val="16"/>
          <w:szCs w:val="16"/>
          <w:lang w:val="ru-RU"/>
        </w:rPr>
        <w:t xml:space="preserve">, </w:t>
      </w:r>
      <w:r>
        <w:rPr>
          <w:rFonts w:hint="default" w:ascii="Arial" w:hAnsi="Arial" w:cs="Arial"/>
          <w:sz w:val="16"/>
          <w:szCs w:val="16"/>
        </w:rPr>
        <w:fldChar w:fldCharType="begin"/>
      </w:r>
      <w:r>
        <w:rPr>
          <w:rFonts w:hint="default" w:ascii="Arial" w:hAnsi="Arial" w:cs="Arial"/>
          <w:sz w:val="16"/>
          <w:szCs w:val="16"/>
          <w:lang w:val="ru-RU"/>
        </w:rPr>
        <w:instrText xml:space="preserve"> </w:instrText>
      </w:r>
      <w:r>
        <w:rPr>
          <w:rFonts w:hint="default" w:ascii="Arial" w:hAnsi="Arial" w:cs="Arial"/>
          <w:sz w:val="16"/>
          <w:szCs w:val="16"/>
        </w:rPr>
        <w:instrText xml:space="preserve">HYPERLINK</w:instrText>
      </w:r>
      <w:r>
        <w:rPr>
          <w:rFonts w:hint="default" w:ascii="Arial" w:hAnsi="Arial" w:cs="Arial"/>
          <w:sz w:val="16"/>
          <w:szCs w:val="16"/>
          <w:lang w:val="ru-RU"/>
        </w:rPr>
        <w:instrText xml:space="preserve"> "</w:instrText>
      </w:r>
      <w:r>
        <w:rPr>
          <w:rFonts w:hint="default" w:ascii="Arial" w:hAnsi="Arial" w:cs="Arial"/>
          <w:sz w:val="16"/>
          <w:szCs w:val="16"/>
        </w:rPr>
        <w:instrText xml:space="preserve">mailto</w:instrText>
      </w:r>
      <w:r>
        <w:rPr>
          <w:rFonts w:hint="default" w:ascii="Arial" w:hAnsi="Arial" w:cs="Arial"/>
          <w:sz w:val="16"/>
          <w:szCs w:val="16"/>
          <w:lang w:val="ru-RU"/>
        </w:rPr>
        <w:instrText xml:space="preserve">:</w:instrText>
      </w:r>
      <w:r>
        <w:rPr>
          <w:rFonts w:hint="default" w:ascii="Arial" w:hAnsi="Arial" w:cs="Arial"/>
          <w:sz w:val="16"/>
          <w:szCs w:val="16"/>
        </w:rPr>
        <w:instrText xml:space="preserve">asror</w:instrText>
      </w:r>
      <w:r>
        <w:rPr>
          <w:rFonts w:hint="default" w:ascii="Arial" w:hAnsi="Arial" w:cs="Arial"/>
          <w:sz w:val="16"/>
          <w:szCs w:val="16"/>
          <w:lang w:val="ru-RU"/>
        </w:rPr>
        <w:instrText xml:space="preserve">_</w:instrText>
      </w:r>
      <w:r>
        <w:rPr>
          <w:rFonts w:hint="default" w:ascii="Arial" w:hAnsi="Arial" w:cs="Arial"/>
          <w:sz w:val="16"/>
          <w:szCs w:val="16"/>
        </w:rPr>
        <w:instrText xml:space="preserve">tcti</w:instrText>
      </w:r>
      <w:r>
        <w:rPr>
          <w:rFonts w:hint="default" w:ascii="Arial" w:hAnsi="Arial" w:cs="Arial"/>
          <w:sz w:val="16"/>
          <w:szCs w:val="16"/>
          <w:lang w:val="ru-RU"/>
        </w:rPr>
        <w:instrText xml:space="preserve">@</w:instrText>
      </w:r>
      <w:r>
        <w:rPr>
          <w:rFonts w:hint="default" w:ascii="Arial" w:hAnsi="Arial" w:cs="Arial"/>
          <w:sz w:val="16"/>
          <w:szCs w:val="16"/>
        </w:rPr>
        <w:instrText xml:space="preserve">mail</w:instrText>
      </w:r>
      <w:r>
        <w:rPr>
          <w:rFonts w:hint="default" w:ascii="Arial" w:hAnsi="Arial" w:cs="Arial"/>
          <w:sz w:val="16"/>
          <w:szCs w:val="16"/>
          <w:lang w:val="ru-RU"/>
        </w:rPr>
        <w:instrText xml:space="preserve">.</w:instrText>
      </w:r>
      <w:r>
        <w:rPr>
          <w:rFonts w:hint="default" w:ascii="Arial" w:hAnsi="Arial" w:cs="Arial"/>
          <w:sz w:val="16"/>
          <w:szCs w:val="16"/>
        </w:rPr>
        <w:instrText xml:space="preserve">ru</w:instrText>
      </w:r>
      <w:r>
        <w:rPr>
          <w:rFonts w:hint="default" w:ascii="Arial" w:hAnsi="Arial" w:cs="Arial"/>
          <w:sz w:val="16"/>
          <w:szCs w:val="16"/>
          <w:lang w:val="ru-RU"/>
        </w:rPr>
        <w:instrText xml:space="preserve">" </w:instrText>
      </w:r>
      <w:r>
        <w:rPr>
          <w:rFonts w:hint="default" w:ascii="Arial" w:hAnsi="Arial" w:cs="Arial"/>
          <w:sz w:val="16"/>
          <w:szCs w:val="16"/>
        </w:rPr>
        <w:fldChar w:fldCharType="separate"/>
      </w:r>
      <w:r>
        <w:rPr>
          <w:rStyle w:val="13"/>
          <w:rFonts w:hint="default" w:ascii="Arial" w:hAnsi="Arial" w:cs="Arial"/>
          <w:sz w:val="16"/>
          <w:szCs w:val="16"/>
        </w:rPr>
        <w:t>asror</w:t>
      </w:r>
      <w:r>
        <w:rPr>
          <w:rStyle w:val="13"/>
          <w:rFonts w:hint="default" w:ascii="Arial" w:hAnsi="Arial" w:cs="Arial"/>
          <w:sz w:val="16"/>
          <w:szCs w:val="16"/>
          <w:lang w:val="ru-RU"/>
        </w:rPr>
        <w:t>_</w:t>
      </w:r>
      <w:r>
        <w:rPr>
          <w:rStyle w:val="13"/>
          <w:rFonts w:hint="default" w:ascii="Arial" w:hAnsi="Arial" w:cs="Arial"/>
          <w:sz w:val="16"/>
          <w:szCs w:val="16"/>
        </w:rPr>
        <w:t>tcti</w:t>
      </w:r>
      <w:r>
        <w:rPr>
          <w:rStyle w:val="13"/>
          <w:rFonts w:hint="default" w:ascii="Arial" w:hAnsi="Arial" w:cs="Arial"/>
          <w:sz w:val="16"/>
          <w:szCs w:val="16"/>
          <w:lang w:val="ru-RU"/>
        </w:rPr>
        <w:t>@</w:t>
      </w:r>
      <w:r>
        <w:rPr>
          <w:rStyle w:val="13"/>
          <w:rFonts w:hint="default" w:ascii="Arial" w:hAnsi="Arial" w:cs="Arial"/>
          <w:sz w:val="16"/>
          <w:szCs w:val="16"/>
        </w:rPr>
        <w:t>mail</w:t>
      </w:r>
      <w:r>
        <w:rPr>
          <w:rStyle w:val="13"/>
          <w:rFonts w:hint="default" w:ascii="Arial" w:hAnsi="Arial" w:cs="Arial"/>
          <w:sz w:val="16"/>
          <w:szCs w:val="16"/>
          <w:lang w:val="ru-RU"/>
        </w:rPr>
        <w:t>.</w:t>
      </w:r>
      <w:r>
        <w:rPr>
          <w:rStyle w:val="13"/>
          <w:rFonts w:hint="default" w:ascii="Arial" w:hAnsi="Arial" w:cs="Arial"/>
          <w:sz w:val="16"/>
          <w:szCs w:val="16"/>
        </w:rPr>
        <w:t>ru</w:t>
      </w:r>
      <w:r>
        <w:rPr>
          <w:rStyle w:val="13"/>
          <w:rFonts w:hint="default" w:ascii="Arial" w:hAnsi="Arial" w:cs="Arial"/>
          <w:sz w:val="16"/>
          <w:szCs w:val="16"/>
        </w:rPr>
        <w:fldChar w:fldCharType="end"/>
      </w:r>
      <w:r>
        <w:rPr>
          <w:rFonts w:hint="default" w:ascii="Arial" w:hAnsi="Arial" w:cs="Arial"/>
          <w:color w:val="000000"/>
          <w:sz w:val="16"/>
          <w:szCs w:val="16"/>
          <w:lang w:val="ru-RU"/>
        </w:rPr>
        <w:t xml:space="preserve">  </w:t>
      </w:r>
    </w:p>
    <w:p w14:paraId="2ED2C879">
      <w:pPr>
        <w:jc w:val="both"/>
        <w:rPr>
          <w:rFonts w:ascii="Arial" w:hAnsi="Arial" w:cs="Arial"/>
          <w:b/>
          <w:bCs/>
          <w:lang w:val="ru-RU"/>
        </w:rPr>
      </w:pPr>
    </w:p>
    <w:p w14:paraId="14609332">
      <w:pPr>
        <w:jc w:val="both"/>
        <w:rPr>
          <w:rFonts w:hint="default" w:ascii="Arial" w:hAnsi="Arial"/>
          <w:sz w:val="20"/>
          <w:szCs w:val="20"/>
          <w:lang w:val="ru-RU"/>
        </w:rPr>
      </w:pPr>
      <w:r>
        <w:rPr>
          <w:rFonts w:hint="default" w:ascii="Arial" w:hAnsi="Arial"/>
          <w:b/>
          <w:bCs/>
          <w:sz w:val="20"/>
          <w:szCs w:val="20"/>
          <w:lang w:val="ru-RU"/>
        </w:rPr>
        <w:t>Abstract</w:t>
      </w:r>
      <w:r>
        <w:rPr>
          <w:rFonts w:hint="default" w:ascii="Arial" w:hAnsi="Arial"/>
          <w:sz w:val="20"/>
          <w:szCs w:val="20"/>
          <w:lang w:val="ru-RU"/>
        </w:rPr>
        <w:t xml:space="preserve"> </w:t>
      </w:r>
    </w:p>
    <w:p w14:paraId="1CEA7535">
      <w:pPr>
        <w:jc w:val="both"/>
        <w:rPr>
          <w:rFonts w:hint="default" w:ascii="Arial" w:hAnsi="Arial"/>
          <w:sz w:val="20"/>
          <w:szCs w:val="20"/>
          <w:lang w:val="ru-RU"/>
        </w:rPr>
      </w:pPr>
      <w:r>
        <w:rPr>
          <w:rFonts w:hint="default" w:ascii="Arial" w:hAnsi="Arial"/>
          <w:sz w:val="20"/>
          <w:szCs w:val="20"/>
          <w:lang w:val="ru-RU"/>
        </w:rPr>
        <w:t>The paper considers the development of unsaturated polyester resin (</w:t>
      </w:r>
      <w:r>
        <w:rPr>
          <w:rFonts w:hint="default" w:ascii="Arial" w:hAnsi="Arial"/>
          <w:sz w:val="20"/>
          <w:szCs w:val="20"/>
          <w:lang w:val="en-US"/>
        </w:rPr>
        <w:t>U</w:t>
      </w:r>
      <w:r>
        <w:rPr>
          <w:rFonts w:hint="default" w:ascii="Arial" w:hAnsi="Arial"/>
          <w:sz w:val="20"/>
          <w:szCs w:val="20"/>
          <w:lang w:val="ru-RU"/>
        </w:rPr>
        <w:t>PF) as a binding component for polymer composite material type BMC</w:t>
      </w:r>
      <w:r>
        <w:rPr>
          <w:rFonts w:hint="default" w:ascii="Arial" w:hAnsi="Arial"/>
          <w:sz w:val="20"/>
          <w:szCs w:val="20"/>
          <w:lang w:val="en-US"/>
        </w:rPr>
        <w:t xml:space="preserve"> </w:t>
      </w:r>
      <w:r>
        <w:rPr>
          <w:rFonts w:hint="default" w:ascii="Arial" w:hAnsi="Arial"/>
          <w:sz w:val="20"/>
          <w:szCs w:val="20"/>
          <w:lang w:val="ru-RU"/>
        </w:rPr>
        <w:t>(Bulk Molding Compound) brand Menzolit BMC 3102, used in the manufacture of car headlight reflectors. Experimental studies have been carried out to determine the mass composition of the composite and analyze the structure using IR spectroscopy. Quantitative ratios of the main phases of the material have been established: fiberglass, mineral filler and binder. The results obtained make it possible to evaluate the structural features of the BMC composite and use them to develop similar materials based on domestic raw materials.</w:t>
      </w:r>
    </w:p>
    <w:p w14:paraId="425CC80F">
      <w:pPr>
        <w:jc w:val="both"/>
        <w:rPr>
          <w:rFonts w:hint="default" w:ascii="Arial" w:hAnsi="Arial" w:cs="Arial"/>
          <w:sz w:val="20"/>
          <w:szCs w:val="20"/>
          <w:lang w:val="ru-RU"/>
        </w:rPr>
      </w:pPr>
      <w:r>
        <w:rPr>
          <w:rFonts w:hint="default" w:ascii="Arial" w:hAnsi="Arial"/>
          <w:b/>
          <w:bCs/>
          <w:sz w:val="20"/>
          <w:szCs w:val="20"/>
          <w:lang w:val="ru-RU"/>
        </w:rPr>
        <w:t>Keywords:</w:t>
      </w:r>
      <w:r>
        <w:rPr>
          <w:rFonts w:hint="default" w:ascii="Arial" w:hAnsi="Arial"/>
          <w:sz w:val="20"/>
          <w:szCs w:val="20"/>
          <w:lang w:val="ru-RU"/>
        </w:rPr>
        <w:t xml:space="preserve"> unsaturated polyester resin, </w:t>
      </w:r>
      <w:r>
        <w:rPr>
          <w:rFonts w:hint="default" w:ascii="Arial" w:hAnsi="Arial"/>
          <w:sz w:val="20"/>
          <w:szCs w:val="20"/>
          <w:lang w:val="en-US"/>
        </w:rPr>
        <w:t>U</w:t>
      </w:r>
      <w:r>
        <w:rPr>
          <w:rFonts w:hint="default" w:ascii="Arial" w:hAnsi="Arial"/>
          <w:sz w:val="20"/>
          <w:szCs w:val="20"/>
          <w:lang w:val="ru-RU"/>
        </w:rPr>
        <w:t>PF, polycondensation, polymer composite materials, Menzolit BMC 3102, technological and physico-chemical properties.</w:t>
      </w:r>
    </w:p>
    <w:p w14:paraId="0B85B811">
      <w:pPr>
        <w:ind w:firstLine="708"/>
        <w:jc w:val="both"/>
        <w:rPr>
          <w:rFonts w:hint="default" w:ascii="Arial" w:hAnsi="Arial" w:cs="Arial"/>
          <w:b/>
          <w:bCs/>
          <w:sz w:val="20"/>
          <w:szCs w:val="20"/>
          <w:lang w:val="ru-RU"/>
        </w:rPr>
      </w:pPr>
    </w:p>
    <w:p w14:paraId="25ADAE00">
      <w:pPr>
        <w:jc w:val="both"/>
        <w:rPr>
          <w:rFonts w:hint="default" w:ascii="Arial" w:hAnsi="Arial"/>
          <w:sz w:val="20"/>
          <w:szCs w:val="20"/>
          <w:lang w:val="ru-RU"/>
        </w:rPr>
      </w:pPr>
      <w:r>
        <w:rPr>
          <w:rFonts w:hint="default" w:ascii="Arial" w:hAnsi="Arial"/>
          <w:b/>
          <w:bCs/>
          <w:sz w:val="20"/>
          <w:szCs w:val="20"/>
          <w:lang w:val="ru-RU"/>
        </w:rPr>
        <w:t>Introduction</w:t>
      </w:r>
    </w:p>
    <w:p w14:paraId="47A36C43">
      <w:pPr>
        <w:jc w:val="both"/>
        <w:rPr>
          <w:rFonts w:hint="default" w:ascii="Arial" w:hAnsi="Arial"/>
          <w:sz w:val="20"/>
          <w:szCs w:val="20"/>
          <w:lang w:val="ru-RU"/>
        </w:rPr>
      </w:pPr>
      <w:r>
        <w:rPr>
          <w:rFonts w:hint="default" w:ascii="Arial" w:hAnsi="Arial"/>
          <w:sz w:val="20"/>
          <w:szCs w:val="20"/>
          <w:lang w:val="ru-RU"/>
        </w:rPr>
        <w:t>In recent years, polymer composite materials (PCM) have become increasingly important in the automotive industry, due to the need to reduce vehicle weight, increase fuel efficiency, and meet modern environmental requirements. According to research, reducing the weight of a car directly affects the reduction of fuel consumption and emissions, which makes the use of composites one of the key areas of industry development [1]. Such materials are especially in demand in assemblies where not only strength is required from the structure, but also shape accuracy, resistance to heat, moisture and chemically active media. Also, the use of polymer composites makes it possible to optimize production costs and increase the durability of products [2]. Such products include car headlight reflectors, for which heat resistance, geometric stability and compatibility with a reflective coating are important [3].</w:t>
      </w:r>
    </w:p>
    <w:p w14:paraId="520D9657">
      <w:pPr>
        <w:jc w:val="both"/>
        <w:rPr>
          <w:rFonts w:hint="default" w:ascii="Arial" w:hAnsi="Arial"/>
          <w:sz w:val="20"/>
          <w:szCs w:val="20"/>
          <w:lang w:val="ru-RU"/>
        </w:rPr>
      </w:pPr>
      <w:r>
        <w:rPr>
          <w:rFonts w:hint="default" w:ascii="Arial" w:hAnsi="Arial"/>
          <w:sz w:val="20"/>
          <w:szCs w:val="20"/>
          <w:lang w:val="ru-RU"/>
        </w:rPr>
        <w:t xml:space="preserve">Among thermosetting composite materials, SMC (Sheet Molding Compound), DMC (Dough Molding Compound) and BMC (Bulk Molding Compound) types are widely used. Such materials are processed mainly by pressing and injection molding methods. SMC compounds are sheet reinforced materials with high mechanical characteristics, but their use is limited by the complexity of processing and lower efficiency when forming products of complex geometry. DMC compositions have a paste-like structure and are used primarily for less critical parts, being inferior in terms of stability of properties and uniformity of component distribution. The most versatile are BMC compounds, which are bulk molding compounds based on unsaturated polyester resins, fillers and fiberglass. They provide high fluidity, good mold fillability and dimensional stability of products after curing, which makes them especially in demand in the production of parts of complex configuration [4-6]. According to international market research, the global SMC and BMC market was estimated at about 3.0 billion US dollars in 2018, with projected growth to 5.4 billion US dollars by 2027, with an average growth rate of about 6.7% [7.8]. This indicates a steady increase in demand for these materials in various industries.   </w:t>
      </w:r>
    </w:p>
    <w:p w14:paraId="638AEE0D">
      <w:pPr>
        <w:jc w:val="both"/>
        <w:rPr>
          <w:rFonts w:hint="default" w:ascii="Arial" w:hAnsi="Arial"/>
          <w:sz w:val="20"/>
          <w:szCs w:val="20"/>
          <w:lang w:val="ru-RU"/>
        </w:rPr>
      </w:pPr>
      <w:r>
        <w:rPr>
          <w:rFonts w:hint="default" w:ascii="Arial" w:hAnsi="Arial"/>
          <w:sz w:val="20"/>
          <w:szCs w:val="20"/>
          <w:lang w:val="ru-RU"/>
        </w:rPr>
        <w:t>According to technical documentation and open source data, BMC materials account for a significant proportion of composites used in the manufacture of automotive reflectors. In particular, the Menzolit BMC 3102 industrial brand is characterized by high temperature resistance, resistance to aggressive environments and dimensional stability, which makes it preferable for use in automotive lighting elements [9, 10]. Unsaturated polyester resins are widely used as a polymer matrix in such systems, since they are among the most common thermosetting binders for composite materials and, after curing, form a crosslinked structure that provides the necessary set of technological and operational properties [5,6].</w:t>
      </w:r>
    </w:p>
    <w:p w14:paraId="671A7EB8">
      <w:pPr>
        <w:jc w:val="both"/>
        <w:rPr>
          <w:rFonts w:hint="default" w:ascii="Arial" w:hAnsi="Arial" w:eastAsia="SimSun" w:cs="Arial"/>
          <w:sz w:val="20"/>
          <w:szCs w:val="20"/>
        </w:rPr>
      </w:pPr>
      <w:r>
        <w:rPr>
          <w:rFonts w:hint="default" w:ascii="Arial" w:hAnsi="Arial" w:eastAsia="SimSun" w:cs="Arial"/>
          <w:sz w:val="20"/>
          <w:szCs w:val="20"/>
        </w:rPr>
        <w:t xml:space="preserve">An important step in the production of unsaturated polyester resins is the polycondensation process, during which the macromolecular structure of the future binder is formed. Polycondensation is a stepwise process of interaction of diols (glycols) with dicarboxylic acids or their anhydrides, accompanied by the formation of ether bonds and the release of low molecular weight by-products [4]. In the case of the synthesis of </w:t>
      </w:r>
      <w:r>
        <w:rPr>
          <w:rFonts w:hint="default" w:ascii="Arial" w:hAnsi="Arial"/>
          <w:sz w:val="20"/>
          <w:szCs w:val="20"/>
          <w:lang w:val="en-US"/>
        </w:rPr>
        <w:t>U</w:t>
      </w:r>
      <w:r>
        <w:rPr>
          <w:rFonts w:hint="default" w:ascii="Arial" w:hAnsi="Arial"/>
          <w:sz w:val="20"/>
          <w:szCs w:val="20"/>
          <w:lang w:val="ru-RU"/>
        </w:rPr>
        <w:t>PF</w:t>
      </w:r>
      <w:r>
        <w:rPr>
          <w:rFonts w:hint="default" w:ascii="Arial" w:hAnsi="Arial" w:eastAsia="SimSun" w:cs="Arial"/>
          <w:sz w:val="20"/>
          <w:szCs w:val="20"/>
        </w:rPr>
        <w:t>, unsaturated components are used, such as phthalic and maleic anhydrides, which makes it possible to form a polyester chain while maintaining reactive double bonds. These double bonds further participate in the copolymerization reaction with styrene, providing the formation of a three-dimensional mesh structure during curing [5]. Therefore, it is the stage of polycondensation that determines the molecular weight, the degree of branching, the content of functional groups and, as a result, the rheological and kinetic characteristics of the resin.</w:t>
      </w:r>
    </w:p>
    <w:p w14:paraId="1219A55F">
      <w:pPr>
        <w:jc w:val="both"/>
        <w:rPr>
          <w:rFonts w:hint="default" w:ascii="Arial" w:hAnsi="Arial" w:eastAsia="SimSun" w:cs="Arial"/>
          <w:sz w:val="20"/>
          <w:szCs w:val="20"/>
        </w:rPr>
      </w:pPr>
      <w:r>
        <w:rPr>
          <w:rFonts w:hint="default" w:ascii="Arial" w:hAnsi="Arial" w:eastAsia="SimSun" w:cs="Arial"/>
          <w:sz w:val="20"/>
          <w:szCs w:val="20"/>
          <w:lang w:val="en-US"/>
        </w:rPr>
        <w:t>I</w:t>
      </w:r>
      <w:r>
        <w:rPr>
          <w:rFonts w:hint="default" w:ascii="Arial" w:hAnsi="Arial" w:eastAsia="SimSun" w:cs="Arial"/>
          <w:sz w:val="20"/>
          <w:szCs w:val="20"/>
        </w:rPr>
        <w:t xml:space="preserve">n published studies on the Menzolit BMC 3102 material used for the production of passenger car reflectors, it is noted that this composite includes a polyester matrix, mineral filler and fiberglass, and is also considered as a base for creating similar materials based on local raw materials [10-12]. In this regard, the development of </w:t>
      </w:r>
      <w:r>
        <w:rPr>
          <w:rFonts w:hint="default" w:ascii="Arial" w:hAnsi="Arial"/>
          <w:sz w:val="20"/>
          <w:szCs w:val="20"/>
          <w:lang w:val="en-US"/>
        </w:rPr>
        <w:t>U</w:t>
      </w:r>
      <w:r>
        <w:rPr>
          <w:rFonts w:hint="default" w:ascii="Arial" w:hAnsi="Arial"/>
          <w:sz w:val="20"/>
          <w:szCs w:val="20"/>
          <w:lang w:val="ru-RU"/>
        </w:rPr>
        <w:t>PF</w:t>
      </w:r>
      <w:r>
        <w:rPr>
          <w:rFonts w:hint="default" w:ascii="Arial" w:hAnsi="Arial" w:eastAsia="SimSun" w:cs="Arial"/>
          <w:sz w:val="20"/>
          <w:szCs w:val="20"/>
        </w:rPr>
        <w:t xml:space="preserve"> as a binding component in a composite material similar to Menzolit BMC 3102 is an urgent scientific and practical task. It is aimed not only at reproducing the required set of material properties for headlight reflectors, but also at reducing import dependence, expanding the raw material base and increasing the localization of production of polymer composite products [12].</w:t>
      </w:r>
    </w:p>
    <w:p w14:paraId="282C4686">
      <w:pPr>
        <w:jc w:val="both"/>
        <w:rPr>
          <w:rFonts w:hint="default" w:ascii="Arial" w:hAnsi="Arial" w:cs="Arial"/>
          <w:sz w:val="20"/>
          <w:szCs w:val="20"/>
          <w:lang w:val="ru-RU"/>
        </w:rPr>
      </w:pPr>
      <w:r>
        <w:rPr>
          <w:rFonts w:hint="default" w:ascii="Arial" w:hAnsi="Arial" w:eastAsia="SimSun" w:cs="Arial"/>
          <w:sz w:val="20"/>
          <w:szCs w:val="20"/>
          <w:lang w:val="en-US"/>
        </w:rPr>
        <w:t>T</w:t>
      </w:r>
      <w:r>
        <w:rPr>
          <w:rFonts w:hint="default" w:ascii="Arial" w:hAnsi="Arial" w:eastAsia="SimSun" w:cs="Arial"/>
          <w:sz w:val="20"/>
          <w:szCs w:val="20"/>
        </w:rPr>
        <w:t>his paper reports on the study of the composition of Menzolit BMC 3102 and the development of the synthesis of unsaturated polyester resin with specified properties for the composition, as well as the determination of the technological features of the Menzolit BMC 3102 material for the development of its analogues based on local raw materials.</w:t>
      </w:r>
    </w:p>
    <w:p w14:paraId="40A81DC0">
      <w:pPr>
        <w:jc w:val="both"/>
        <w:rPr>
          <w:rFonts w:hint="default" w:ascii="Arial" w:hAnsi="Arial" w:eastAsia="SimSun" w:cs="Arial"/>
          <w:sz w:val="20"/>
          <w:szCs w:val="20"/>
        </w:rPr>
      </w:pPr>
      <w:r>
        <w:rPr>
          <w:rFonts w:hint="default" w:ascii="Arial" w:hAnsi="Arial" w:eastAsia="SimSun" w:cs="Arial"/>
          <w:b/>
          <w:bCs/>
          <w:sz w:val="20"/>
          <w:szCs w:val="20"/>
          <w:lang w:val="en-US"/>
        </w:rPr>
        <w:t>E</w:t>
      </w:r>
      <w:r>
        <w:rPr>
          <w:rFonts w:hint="default" w:ascii="Arial" w:hAnsi="Arial" w:eastAsia="SimSun" w:cs="Arial"/>
          <w:b/>
          <w:bCs/>
          <w:sz w:val="20"/>
          <w:szCs w:val="20"/>
        </w:rPr>
        <w:t>xperimental part</w:t>
      </w:r>
      <w:r>
        <w:rPr>
          <w:rFonts w:hint="default" w:ascii="Arial" w:hAnsi="Arial" w:eastAsia="SimSun" w:cs="Arial"/>
          <w:sz w:val="20"/>
          <w:szCs w:val="20"/>
        </w:rPr>
        <w:t xml:space="preserve"> </w:t>
      </w:r>
    </w:p>
    <w:p w14:paraId="46D8E06E">
      <w:pPr>
        <w:jc w:val="both"/>
        <w:rPr>
          <w:rFonts w:hint="default" w:ascii="Arial" w:hAnsi="Arial" w:eastAsia="SimSun" w:cs="Arial"/>
          <w:sz w:val="20"/>
          <w:szCs w:val="20"/>
        </w:rPr>
      </w:pPr>
      <w:r>
        <w:rPr>
          <w:rFonts w:hint="default" w:ascii="Arial" w:hAnsi="Arial" w:eastAsia="SimSun" w:cs="Arial"/>
          <w:sz w:val="20"/>
          <w:szCs w:val="20"/>
        </w:rPr>
        <w:t>The synthesis of unsaturated polyester resin (</w:t>
      </w:r>
      <w:r>
        <w:rPr>
          <w:rFonts w:hint="default" w:ascii="Arial" w:hAnsi="Arial"/>
          <w:sz w:val="20"/>
          <w:szCs w:val="20"/>
          <w:lang w:val="en-US"/>
        </w:rPr>
        <w:t>U</w:t>
      </w:r>
      <w:r>
        <w:rPr>
          <w:rFonts w:hint="default" w:ascii="Arial" w:hAnsi="Arial"/>
          <w:sz w:val="20"/>
          <w:szCs w:val="20"/>
          <w:lang w:val="ru-RU"/>
        </w:rPr>
        <w:t>PF</w:t>
      </w:r>
      <w:r>
        <w:rPr>
          <w:rFonts w:hint="default" w:ascii="Arial" w:hAnsi="Arial" w:eastAsia="SimSun" w:cs="Arial"/>
          <w:sz w:val="20"/>
          <w:szCs w:val="20"/>
        </w:rPr>
        <w:t>) was carried out by polycondensation using diethylene glycol, ethylene glycol, phthalic and maleic anhydrides. The process was carried out under controlled temperature conditions and constant stirring, which ensured a uniform reaction and the formation of a polyester chain. The degree of completion of polycondensation was controlled by changes in the acid number in accordance with GOST 25210-82 [13], which made it possible to track the change in carboxyl groups and the course of the reaction.</w:t>
      </w:r>
    </w:p>
    <w:p w14:paraId="6D6C9045">
      <w:pPr>
        <w:jc w:val="both"/>
        <w:rPr>
          <w:rFonts w:hint="default" w:ascii="Arial" w:hAnsi="Arial" w:eastAsia="SimSun" w:cs="Arial"/>
          <w:sz w:val="20"/>
          <w:szCs w:val="20"/>
        </w:rPr>
      </w:pPr>
      <w:r>
        <w:rPr>
          <w:rFonts w:hint="default" w:ascii="Arial" w:hAnsi="Arial" w:eastAsia="SimSun" w:cs="Arial"/>
          <w:sz w:val="20"/>
          <w:szCs w:val="20"/>
        </w:rPr>
        <w:t xml:space="preserve">The physico-chemical properties of the resin obtained were determined using standard techniques. The conditional viscosity was measured using the VZ-6 method according to GOST 8420-74 [14], which makes it possible to assess the fluidity of the system and its adaptability during processing. The gelatinization time was determined according to GOST 22181-2015 [15] and characterizes the kinetics of the resin transition to a gel-like state. The temperature parameters of curing, including the temperature of the reaction onset, the maximum temperature of exothermy and the duration of the active phase, were determined in accordance with GOST 21970-2015 [16]. The dry residue content was determined according to GOST 31939-2022 [17], which makes it possible to estimate the proportion of non-volatile components. The results obtained were compared with the requirements of the regulatory documentation for unsaturated polyester resins (GOST 27952-88) [18]. </w:t>
      </w:r>
    </w:p>
    <w:p w14:paraId="46C3462C">
      <w:pPr>
        <w:jc w:val="both"/>
        <w:rPr>
          <w:rFonts w:hint="default" w:ascii="Arial" w:hAnsi="Arial" w:eastAsia="SimSun" w:cs="Arial"/>
          <w:sz w:val="20"/>
          <w:szCs w:val="20"/>
        </w:rPr>
      </w:pPr>
      <w:r>
        <w:rPr>
          <w:rFonts w:hint="default" w:ascii="Arial" w:hAnsi="Arial" w:eastAsia="SimSun" w:cs="Arial"/>
          <w:sz w:val="20"/>
          <w:szCs w:val="20"/>
        </w:rPr>
        <w:t xml:space="preserve">The method of infrared spectroscopy was used to confirm the chemical structure of the synthesized resin. The study was conducted using an IR Fourier spectrometer (FTIR), which includes an infrared radiation source, an interferometer, a detector, and a signal processing system. The method is based on recording the absorption of infrared radiation by molecules of a substance, in which vibrations of chemical bonds are excited, which makes it possible to identify functional groups by characteristic spectral bands [19]. The analysis and interpretation of the spectra were carried out in accordance with the requirements of GOST R 57941-2017 [20]. </w:t>
      </w:r>
    </w:p>
    <w:p w14:paraId="1994E085">
      <w:pPr>
        <w:jc w:val="both"/>
        <w:rPr>
          <w:rFonts w:hint="default" w:ascii="Arial" w:hAnsi="Arial" w:cs="Arial"/>
          <w:b/>
          <w:bCs/>
          <w:sz w:val="20"/>
          <w:szCs w:val="20"/>
          <w:lang w:val="ru-RU"/>
        </w:rPr>
      </w:pPr>
      <w:r>
        <w:rPr>
          <w:rFonts w:hint="default" w:ascii="Arial" w:hAnsi="Arial" w:eastAsia="SimSun" w:cs="Arial"/>
          <w:sz w:val="20"/>
          <w:szCs w:val="20"/>
        </w:rPr>
        <w:t>Absorption bands corresponding to carbonyl groups (-C=O), ether bonds (–COO–), and areas of unsaturation due to the presence of maleic anhydride are recorded in the obtained IR spectra. This confirms the formation of the unsaturated polyester structure and the correctness of the selected synthesis conditions. The complex of applied methods ensures a reliable assessment of the properties of the synthesized resin and its compliance with the requirements for binders for composite materials of the BMC type.</w:t>
      </w:r>
    </w:p>
    <w:p w14:paraId="15C9B512">
      <w:pPr>
        <w:jc w:val="both"/>
        <w:rPr>
          <w:rFonts w:hint="default" w:ascii="Arial" w:hAnsi="Arial"/>
          <w:b/>
          <w:bCs/>
          <w:sz w:val="20"/>
          <w:szCs w:val="20"/>
          <w:lang w:val="ru-RU"/>
        </w:rPr>
      </w:pPr>
      <w:r>
        <w:rPr>
          <w:rFonts w:hint="default" w:ascii="Arial" w:hAnsi="Arial"/>
          <w:b/>
          <w:bCs/>
          <w:sz w:val="20"/>
          <w:szCs w:val="20"/>
          <w:lang w:val="ru-RU"/>
        </w:rPr>
        <w:t>Discussion of the results</w:t>
      </w:r>
    </w:p>
    <w:p w14:paraId="5E7DDF2F">
      <w:pPr>
        <w:jc w:val="both"/>
        <w:rPr>
          <w:rFonts w:hint="default" w:ascii="Arial" w:hAnsi="Arial"/>
          <w:sz w:val="20"/>
          <w:szCs w:val="20"/>
          <w:lang w:val="ru-RU"/>
        </w:rPr>
      </w:pPr>
      <w:r>
        <w:rPr>
          <w:rFonts w:hint="default" w:ascii="Arial" w:hAnsi="Arial"/>
          <w:sz w:val="20"/>
          <w:szCs w:val="20"/>
          <w:lang w:val="ru-RU"/>
        </w:rPr>
        <w:t>An industrial composite material of the BMC - Menzolit BMC 3102 type, widely used in the manufacture of car headlight reflectors, was chosen as the object of research.</w:t>
      </w:r>
      <w:r>
        <w:rPr>
          <w:rFonts w:hint="default" w:ascii="Arial" w:hAnsi="Arial"/>
          <w:sz w:val="20"/>
          <w:szCs w:val="20"/>
          <w:lang w:val="en-US"/>
        </w:rPr>
        <w:t xml:space="preserve"> </w:t>
      </w:r>
      <w:r>
        <w:rPr>
          <w:rFonts w:hint="default" w:ascii="Arial" w:hAnsi="Arial"/>
          <w:sz w:val="20"/>
          <w:szCs w:val="20"/>
          <w:lang w:val="ru-RU"/>
        </w:rPr>
        <w:t>Table 1 shows the technological and physico-mechanical properties of the Menzolit BMC 3102 brand.</w:t>
      </w:r>
    </w:p>
    <w:p w14:paraId="1EE41DE6">
      <w:pPr>
        <w:jc w:val="both"/>
        <w:rPr>
          <w:rFonts w:hint="default" w:ascii="Arial" w:hAnsi="Arial"/>
          <w:sz w:val="20"/>
          <w:szCs w:val="20"/>
          <w:lang w:val="ru-RU"/>
        </w:rPr>
      </w:pPr>
    </w:p>
    <w:p w14:paraId="414897F4">
      <w:pPr>
        <w:jc w:val="both"/>
        <w:rPr>
          <w:rFonts w:hint="default" w:ascii="Arial" w:hAnsi="Arial"/>
          <w:sz w:val="20"/>
          <w:szCs w:val="20"/>
          <w:lang w:val="ru-RU"/>
        </w:rPr>
      </w:pPr>
    </w:p>
    <w:p w14:paraId="149D5781">
      <w:pPr>
        <w:jc w:val="both"/>
        <w:rPr>
          <w:rFonts w:hint="default" w:ascii="Arial" w:hAnsi="Arial"/>
          <w:sz w:val="20"/>
          <w:szCs w:val="20"/>
          <w:lang w:val="ru-RU"/>
        </w:rPr>
      </w:pPr>
      <w:r>
        <w:rPr>
          <w:rFonts w:hint="default" w:ascii="Arial" w:hAnsi="Arial"/>
          <w:sz w:val="20"/>
          <w:szCs w:val="20"/>
          <w:lang w:val="ru-RU"/>
        </w:rPr>
        <w:t>Table 1</w:t>
      </w:r>
    </w:p>
    <w:p w14:paraId="257D1758">
      <w:pPr>
        <w:jc w:val="both"/>
        <w:rPr>
          <w:rFonts w:hint="default" w:ascii="Arial" w:hAnsi="Arial"/>
          <w:sz w:val="20"/>
          <w:szCs w:val="20"/>
          <w:lang w:val="ru-RU"/>
        </w:rPr>
      </w:pPr>
    </w:p>
    <w:p w14:paraId="2F7ECCAE">
      <w:pPr>
        <w:jc w:val="both"/>
        <w:rPr>
          <w:rFonts w:hint="default" w:ascii="Arial" w:hAnsi="Arial"/>
          <w:b w:val="0"/>
          <w:bCs w:val="0"/>
          <w:sz w:val="20"/>
          <w:szCs w:val="20"/>
          <w:lang w:val="ru-RU"/>
        </w:rPr>
      </w:pPr>
      <w:r>
        <w:rPr>
          <w:rFonts w:hint="default" w:ascii="Arial" w:hAnsi="Arial"/>
          <w:b w:val="0"/>
          <w:bCs w:val="0"/>
          <w:sz w:val="20"/>
          <w:szCs w:val="20"/>
          <w:lang w:val="ru-RU"/>
        </w:rPr>
        <w:t>Technological and physico-mechanical properties of the Menzolit BMC 3102 brand</w:t>
      </w:r>
    </w:p>
    <w:tbl>
      <w:tblPr>
        <w:tblStyle w:val="12"/>
        <w:tblpPr w:leftFromText="180" w:rightFromText="180" w:vertAnchor="text" w:horzAnchor="margin" w:tblpXSpec="center" w:tblpY="1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6"/>
        <w:gridCol w:w="3190"/>
      </w:tblGrid>
      <w:tr w14:paraId="30AC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shd w:val="clear" w:color="auto" w:fill="auto"/>
            <w:noWrap w:val="0"/>
            <w:vAlign w:val="top"/>
          </w:tcPr>
          <w:p w14:paraId="6F0BA25E">
            <w:pPr>
              <w:widowControl w:val="0"/>
              <w:jc w:val="both"/>
              <w:rPr>
                <w:rFonts w:hint="default" w:ascii="Arial" w:hAnsi="Arial" w:cs="Arial"/>
                <w:b/>
                <w:bCs/>
                <w:sz w:val="20"/>
                <w:szCs w:val="20"/>
                <w:lang w:val="ru-RU"/>
              </w:rPr>
            </w:pPr>
            <w:r>
              <w:rPr>
                <w:rFonts w:hint="default" w:ascii="Arial" w:hAnsi="Arial" w:eastAsia="SimSun" w:cs="Arial"/>
                <w:b/>
                <w:bCs/>
                <w:sz w:val="20"/>
                <w:szCs w:val="20"/>
              </w:rPr>
              <w:t>Indicator</w:t>
            </w:r>
          </w:p>
        </w:tc>
        <w:tc>
          <w:tcPr>
            <w:tcW w:w="3190" w:type="dxa"/>
            <w:shd w:val="clear" w:color="auto" w:fill="auto"/>
            <w:noWrap w:val="0"/>
            <w:vAlign w:val="top"/>
          </w:tcPr>
          <w:p w14:paraId="54FE9EBD">
            <w:pPr>
              <w:widowControl w:val="0"/>
              <w:jc w:val="both"/>
              <w:rPr>
                <w:rFonts w:hint="default" w:ascii="Arial" w:hAnsi="Arial" w:cs="Arial"/>
                <w:b/>
                <w:bCs/>
                <w:sz w:val="20"/>
                <w:szCs w:val="20"/>
                <w:lang w:val="ru-RU"/>
              </w:rPr>
            </w:pPr>
            <w:r>
              <w:rPr>
                <w:rFonts w:hint="default" w:ascii="Arial" w:hAnsi="Arial" w:cs="Arial"/>
                <w:b/>
                <w:bCs/>
                <w:sz w:val="20"/>
                <w:szCs w:val="20"/>
                <w:lang w:val="ru-RU"/>
              </w:rPr>
              <w:t>Meaning</w:t>
            </w:r>
          </w:p>
        </w:tc>
      </w:tr>
      <w:tr w14:paraId="0DCE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shd w:val="clear" w:color="auto" w:fill="auto"/>
            <w:noWrap w:val="0"/>
            <w:vAlign w:val="top"/>
          </w:tcPr>
          <w:p w14:paraId="2C20F95A">
            <w:pPr>
              <w:widowControl w:val="0"/>
              <w:jc w:val="both"/>
              <w:rPr>
                <w:rFonts w:hint="default" w:ascii="Arial" w:hAnsi="Arial" w:cs="Arial"/>
                <w:sz w:val="20"/>
                <w:szCs w:val="20"/>
              </w:rPr>
            </w:pPr>
            <w:r>
              <w:rPr>
                <w:rFonts w:hint="default" w:ascii="Arial" w:hAnsi="Arial" w:eastAsia="SimSun" w:cs="Arial"/>
                <w:sz w:val="20"/>
                <w:szCs w:val="20"/>
              </w:rPr>
              <w:t>Density, g/cm</w:t>
            </w:r>
            <w:r>
              <w:rPr>
                <w:rFonts w:hint="default" w:ascii="Arial" w:hAnsi="Arial" w:cs="Arial"/>
                <w:sz w:val="20"/>
                <w:szCs w:val="20"/>
              </w:rPr>
              <w:t>³</w:t>
            </w:r>
          </w:p>
        </w:tc>
        <w:tc>
          <w:tcPr>
            <w:tcW w:w="3190" w:type="dxa"/>
            <w:shd w:val="clear" w:color="auto" w:fill="auto"/>
            <w:noWrap w:val="0"/>
            <w:vAlign w:val="top"/>
          </w:tcPr>
          <w:p w14:paraId="555CFE02">
            <w:pPr>
              <w:widowControl w:val="0"/>
              <w:jc w:val="both"/>
              <w:rPr>
                <w:rFonts w:hint="default" w:ascii="Arial" w:hAnsi="Arial" w:cs="Arial"/>
                <w:sz w:val="20"/>
                <w:szCs w:val="20"/>
              </w:rPr>
            </w:pPr>
            <w:r>
              <w:rPr>
                <w:rFonts w:hint="default" w:ascii="Arial" w:hAnsi="Arial" w:cs="Arial"/>
                <w:sz w:val="20"/>
                <w:szCs w:val="20"/>
              </w:rPr>
              <w:t>1,9 - 2,1</w:t>
            </w:r>
          </w:p>
        </w:tc>
      </w:tr>
      <w:tr w14:paraId="5B10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16" w:type="dxa"/>
            <w:shd w:val="clear" w:color="auto" w:fill="auto"/>
            <w:noWrap w:val="0"/>
            <w:vAlign w:val="top"/>
          </w:tcPr>
          <w:p w14:paraId="10F310B5">
            <w:pPr>
              <w:widowControl w:val="0"/>
              <w:jc w:val="both"/>
              <w:rPr>
                <w:rFonts w:hint="default" w:ascii="Arial" w:hAnsi="Arial" w:cs="Arial"/>
                <w:sz w:val="20"/>
                <w:szCs w:val="20"/>
              </w:rPr>
            </w:pPr>
            <w:r>
              <w:rPr>
                <w:rFonts w:hint="default" w:ascii="Arial" w:hAnsi="Arial" w:eastAsia="SimSun" w:cs="Arial"/>
                <w:sz w:val="20"/>
                <w:szCs w:val="20"/>
              </w:rPr>
              <w:t>Temperature of thermal deformation, °C</w:t>
            </w:r>
          </w:p>
        </w:tc>
        <w:tc>
          <w:tcPr>
            <w:tcW w:w="3190" w:type="dxa"/>
            <w:shd w:val="clear" w:color="auto" w:fill="auto"/>
            <w:noWrap w:val="0"/>
            <w:vAlign w:val="top"/>
          </w:tcPr>
          <w:p w14:paraId="7455F773">
            <w:pPr>
              <w:widowControl w:val="0"/>
              <w:jc w:val="both"/>
              <w:rPr>
                <w:rFonts w:hint="default" w:ascii="Arial" w:hAnsi="Arial" w:cs="Arial"/>
                <w:sz w:val="20"/>
                <w:szCs w:val="20"/>
                <w:lang w:val="ru-RU"/>
              </w:rPr>
            </w:pPr>
            <w:r>
              <w:rPr>
                <w:rFonts w:hint="default" w:ascii="Arial" w:hAnsi="Arial" w:cs="Arial"/>
                <w:sz w:val="20"/>
                <w:szCs w:val="20"/>
                <w:lang w:val="ru-RU"/>
              </w:rPr>
              <w:t>&gt;200</w:t>
            </w:r>
          </w:p>
        </w:tc>
      </w:tr>
      <w:tr w14:paraId="11E7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shd w:val="clear" w:color="auto" w:fill="auto"/>
            <w:noWrap w:val="0"/>
            <w:vAlign w:val="top"/>
          </w:tcPr>
          <w:p w14:paraId="2E0672B8">
            <w:pPr>
              <w:widowControl w:val="0"/>
              <w:jc w:val="both"/>
              <w:rPr>
                <w:rFonts w:hint="default" w:ascii="Arial" w:hAnsi="Arial" w:cs="Arial"/>
                <w:sz w:val="20"/>
                <w:szCs w:val="20"/>
              </w:rPr>
            </w:pPr>
            <w:r>
              <w:rPr>
                <w:rFonts w:hint="default" w:ascii="Arial" w:hAnsi="Arial" w:eastAsia="SimSun" w:cs="Arial"/>
                <w:sz w:val="20"/>
                <w:szCs w:val="20"/>
              </w:rPr>
              <w:t>Modulus of elasticity, MPa</w:t>
            </w:r>
          </w:p>
        </w:tc>
        <w:tc>
          <w:tcPr>
            <w:tcW w:w="3190" w:type="dxa"/>
            <w:shd w:val="clear" w:color="auto" w:fill="auto"/>
            <w:noWrap w:val="0"/>
            <w:vAlign w:val="top"/>
          </w:tcPr>
          <w:p w14:paraId="6CAF0E41">
            <w:pPr>
              <w:widowControl w:val="0"/>
              <w:jc w:val="both"/>
              <w:rPr>
                <w:rFonts w:hint="default" w:ascii="Arial" w:hAnsi="Arial" w:cs="Arial"/>
                <w:sz w:val="20"/>
                <w:szCs w:val="20"/>
              </w:rPr>
            </w:pPr>
            <w:r>
              <w:rPr>
                <w:rFonts w:hint="default" w:ascii="Arial" w:hAnsi="Arial" w:cs="Arial"/>
                <w:sz w:val="20"/>
                <w:szCs w:val="20"/>
              </w:rPr>
              <w:t>12 000 - 14 000</w:t>
            </w:r>
          </w:p>
        </w:tc>
      </w:tr>
      <w:tr w14:paraId="487D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shd w:val="clear" w:color="auto" w:fill="auto"/>
            <w:noWrap w:val="0"/>
            <w:vAlign w:val="top"/>
          </w:tcPr>
          <w:p w14:paraId="58B88A49">
            <w:pPr>
              <w:widowControl w:val="0"/>
              <w:jc w:val="both"/>
              <w:rPr>
                <w:rFonts w:hint="default" w:ascii="Arial" w:hAnsi="Arial" w:cs="Arial"/>
                <w:sz w:val="20"/>
                <w:szCs w:val="20"/>
              </w:rPr>
            </w:pPr>
            <w:r>
              <w:rPr>
                <w:rFonts w:hint="default" w:ascii="Arial" w:hAnsi="Arial" w:eastAsia="SimSun" w:cs="Arial"/>
                <w:sz w:val="20"/>
                <w:szCs w:val="20"/>
              </w:rPr>
              <w:t>Glass transition temperature, °C</w:t>
            </w:r>
          </w:p>
        </w:tc>
        <w:tc>
          <w:tcPr>
            <w:tcW w:w="3190" w:type="dxa"/>
            <w:shd w:val="clear" w:color="auto" w:fill="auto"/>
            <w:noWrap w:val="0"/>
            <w:vAlign w:val="top"/>
          </w:tcPr>
          <w:p w14:paraId="0B1264C6">
            <w:pPr>
              <w:widowControl w:val="0"/>
              <w:jc w:val="both"/>
              <w:rPr>
                <w:rFonts w:hint="default" w:ascii="Arial" w:hAnsi="Arial" w:cs="Arial"/>
                <w:sz w:val="20"/>
                <w:szCs w:val="20"/>
              </w:rPr>
            </w:pPr>
            <w:r>
              <w:rPr>
                <w:rFonts w:hint="default" w:ascii="Arial" w:hAnsi="Arial" w:cs="Arial"/>
                <w:sz w:val="20"/>
                <w:szCs w:val="20"/>
              </w:rPr>
              <w:t>170 - 190</w:t>
            </w:r>
          </w:p>
        </w:tc>
      </w:tr>
      <w:tr w14:paraId="6823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shd w:val="clear" w:color="auto" w:fill="auto"/>
            <w:noWrap w:val="0"/>
            <w:vAlign w:val="top"/>
          </w:tcPr>
          <w:p w14:paraId="0215255C">
            <w:pPr>
              <w:widowControl w:val="0"/>
              <w:jc w:val="both"/>
              <w:rPr>
                <w:rFonts w:hint="default" w:ascii="Arial" w:hAnsi="Arial" w:cs="Arial"/>
                <w:sz w:val="20"/>
                <w:szCs w:val="20"/>
              </w:rPr>
            </w:pPr>
            <w:r>
              <w:rPr>
                <w:rFonts w:hint="default" w:ascii="Arial" w:hAnsi="Arial" w:eastAsia="SimSun" w:cs="Arial"/>
                <w:sz w:val="20"/>
                <w:szCs w:val="20"/>
              </w:rPr>
              <w:t>Impact strength, kJ/m</w:t>
            </w:r>
            <w:r>
              <w:rPr>
                <w:rFonts w:hint="default" w:ascii="Arial" w:hAnsi="Arial" w:cs="Arial"/>
                <w:sz w:val="20"/>
                <w:szCs w:val="20"/>
              </w:rPr>
              <w:t>²</w:t>
            </w:r>
          </w:p>
        </w:tc>
        <w:tc>
          <w:tcPr>
            <w:tcW w:w="3190" w:type="dxa"/>
            <w:shd w:val="clear" w:color="auto" w:fill="auto"/>
            <w:noWrap w:val="0"/>
            <w:vAlign w:val="top"/>
          </w:tcPr>
          <w:p w14:paraId="76F79975">
            <w:pPr>
              <w:widowControl w:val="0"/>
              <w:jc w:val="both"/>
              <w:rPr>
                <w:rFonts w:hint="default" w:ascii="Arial" w:hAnsi="Arial" w:cs="Arial"/>
                <w:sz w:val="20"/>
                <w:szCs w:val="20"/>
              </w:rPr>
            </w:pPr>
            <w:r>
              <w:rPr>
                <w:rFonts w:hint="default" w:ascii="Arial" w:hAnsi="Arial" w:cs="Arial"/>
                <w:sz w:val="20"/>
                <w:szCs w:val="20"/>
              </w:rPr>
              <w:t>20 - 30</w:t>
            </w:r>
          </w:p>
        </w:tc>
      </w:tr>
      <w:tr w14:paraId="6AC6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shd w:val="clear" w:color="auto" w:fill="auto"/>
            <w:noWrap w:val="0"/>
            <w:vAlign w:val="top"/>
          </w:tcPr>
          <w:p w14:paraId="08503F09">
            <w:pPr>
              <w:widowControl w:val="0"/>
              <w:jc w:val="both"/>
              <w:rPr>
                <w:rFonts w:hint="default" w:ascii="Arial" w:hAnsi="Arial" w:cs="Arial"/>
                <w:sz w:val="20"/>
                <w:szCs w:val="20"/>
              </w:rPr>
            </w:pPr>
            <w:r>
              <w:rPr>
                <w:rFonts w:hint="default" w:ascii="Arial" w:hAnsi="Arial" w:eastAsia="SimSun" w:cs="Arial"/>
                <w:sz w:val="20"/>
                <w:szCs w:val="20"/>
              </w:rPr>
              <w:t>Water absorption, %</w:t>
            </w:r>
          </w:p>
        </w:tc>
        <w:tc>
          <w:tcPr>
            <w:tcW w:w="3190" w:type="dxa"/>
            <w:shd w:val="clear" w:color="auto" w:fill="auto"/>
            <w:noWrap w:val="0"/>
            <w:vAlign w:val="top"/>
          </w:tcPr>
          <w:p w14:paraId="18C7C058">
            <w:pPr>
              <w:widowControl w:val="0"/>
              <w:jc w:val="both"/>
              <w:rPr>
                <w:rFonts w:hint="default" w:ascii="Arial" w:hAnsi="Arial" w:cs="Arial"/>
                <w:sz w:val="20"/>
                <w:szCs w:val="20"/>
                <w:lang w:val="ru-RU"/>
              </w:rPr>
            </w:pPr>
            <w:r>
              <w:rPr>
                <w:rFonts w:hint="default" w:ascii="Arial" w:hAnsi="Arial" w:cs="Arial"/>
                <w:sz w:val="20"/>
                <w:szCs w:val="20"/>
                <w:lang w:val="ru-RU"/>
              </w:rPr>
              <w:t>&lt;0,5</w:t>
            </w:r>
          </w:p>
        </w:tc>
      </w:tr>
    </w:tbl>
    <w:p w14:paraId="4673C261">
      <w:pPr>
        <w:ind w:firstLine="708"/>
        <w:jc w:val="both"/>
        <w:rPr>
          <w:rFonts w:hint="default" w:ascii="Arial" w:hAnsi="Arial" w:cs="Arial"/>
          <w:sz w:val="20"/>
          <w:szCs w:val="20"/>
          <w:lang w:val="ru-RU"/>
        </w:rPr>
      </w:pPr>
      <w:r>
        <w:rPr>
          <w:rFonts w:hint="default" w:ascii="Arial" w:hAnsi="Arial" w:cs="Arial"/>
          <w:sz w:val="20"/>
          <w:szCs w:val="20"/>
          <w:lang w:val="ru-RU"/>
        </w:rPr>
        <w:t xml:space="preserve">                                                                         </w:t>
      </w:r>
    </w:p>
    <w:p w14:paraId="697F06A8">
      <w:pPr>
        <w:jc w:val="both"/>
        <w:rPr>
          <w:rFonts w:hint="default" w:ascii="Arial" w:hAnsi="Arial" w:cs="Arial"/>
          <w:b/>
          <w:bCs/>
          <w:sz w:val="20"/>
          <w:szCs w:val="20"/>
          <w:lang w:val="ru-RU"/>
        </w:rPr>
      </w:pPr>
    </w:p>
    <w:p w14:paraId="14BFFC18">
      <w:pPr>
        <w:ind w:firstLine="100" w:firstLineChars="50"/>
        <w:jc w:val="both"/>
        <w:rPr>
          <w:rFonts w:hint="default" w:ascii="Arial" w:hAnsi="Arial" w:cs="Arial"/>
          <w:sz w:val="20"/>
          <w:szCs w:val="20"/>
          <w:lang w:val="ru-RU"/>
        </w:rPr>
      </w:pPr>
    </w:p>
    <w:p w14:paraId="669B5DBA">
      <w:pPr>
        <w:ind w:firstLine="100" w:firstLineChars="50"/>
        <w:jc w:val="both"/>
        <w:rPr>
          <w:rFonts w:hint="default" w:ascii="Arial" w:hAnsi="Arial" w:cs="Arial"/>
          <w:sz w:val="20"/>
          <w:szCs w:val="20"/>
          <w:lang w:val="ru-RU"/>
        </w:rPr>
      </w:pPr>
    </w:p>
    <w:p w14:paraId="39EA1C44">
      <w:pPr>
        <w:ind w:firstLine="100" w:firstLineChars="50"/>
        <w:jc w:val="both"/>
        <w:rPr>
          <w:rFonts w:hint="default" w:ascii="Arial" w:hAnsi="Arial" w:cs="Arial"/>
          <w:sz w:val="20"/>
          <w:szCs w:val="20"/>
          <w:lang w:val="ru-RU"/>
        </w:rPr>
      </w:pPr>
    </w:p>
    <w:p w14:paraId="17F47E38">
      <w:pPr>
        <w:ind w:firstLine="100" w:firstLineChars="50"/>
        <w:jc w:val="both"/>
        <w:rPr>
          <w:rFonts w:hint="default" w:ascii="Arial" w:hAnsi="Arial" w:cs="Arial"/>
          <w:sz w:val="20"/>
          <w:szCs w:val="20"/>
          <w:lang w:val="ru-RU"/>
        </w:rPr>
      </w:pPr>
    </w:p>
    <w:p w14:paraId="364AE24B">
      <w:pPr>
        <w:jc w:val="both"/>
        <w:rPr>
          <w:rFonts w:hint="default" w:ascii="Arial" w:hAnsi="Arial" w:cs="Arial"/>
          <w:sz w:val="20"/>
          <w:szCs w:val="20"/>
          <w:lang w:val="ru-RU"/>
        </w:rPr>
      </w:pPr>
    </w:p>
    <w:p w14:paraId="559FAE93">
      <w:pPr>
        <w:ind w:firstLine="100" w:firstLineChars="50"/>
        <w:jc w:val="both"/>
        <w:rPr>
          <w:rFonts w:hint="default" w:ascii="Arial" w:hAnsi="Arial" w:cs="Arial"/>
          <w:sz w:val="20"/>
          <w:szCs w:val="20"/>
          <w:lang w:val="ru-RU"/>
        </w:rPr>
      </w:pPr>
    </w:p>
    <w:p w14:paraId="28BD4F5C">
      <w:pPr>
        <w:jc w:val="both"/>
        <w:rPr>
          <w:rFonts w:hint="default" w:ascii="Arial" w:hAnsi="Arial"/>
          <w:sz w:val="20"/>
          <w:szCs w:val="20"/>
          <w:lang w:val="ru-RU"/>
        </w:rPr>
      </w:pPr>
      <w:r>
        <w:rPr>
          <w:rFonts w:hint="default" w:ascii="Arial" w:hAnsi="Arial"/>
          <w:sz w:val="20"/>
          <w:szCs w:val="20"/>
          <w:lang w:val="ru-RU"/>
        </w:rPr>
        <w:t>Table 1 shows that the Menzolit BMC 3102 material is characterized by high temperature resistance and sufficient strength properties to ensure the stability of the products during operation. This confirms its effectiveness for the production of headlight reflectors.</w:t>
      </w:r>
    </w:p>
    <w:p w14:paraId="03582455">
      <w:pPr>
        <w:tabs>
          <w:tab w:val="left" w:pos="7000"/>
        </w:tabs>
        <w:jc w:val="both"/>
        <w:rPr>
          <w:rFonts w:hint="default" w:ascii="Arial" w:hAnsi="Arial" w:cs="Arial"/>
          <w:sz w:val="20"/>
          <w:szCs w:val="20"/>
          <w:lang w:val="ru-RU"/>
        </w:rPr>
      </w:pPr>
      <w:r>
        <w:rPr>
          <w:rFonts w:hint="default" w:ascii="Arial" w:hAnsi="Arial"/>
          <w:sz w:val="20"/>
          <w:szCs w:val="20"/>
          <w:lang w:val="ru-RU"/>
        </w:rPr>
        <w:t>Initially, a study was conducted to study the composition of the Menzolit BMC 3102 composite material in order to determine its components. At the first stage, the solvent was selected, as a result of which it was found that acetone interacts most effectively with the polymer matrix, which manifested itself in a change in transparency and turbidity of the solution. Next, the composite was dissolved in acetone, after which multiple cycles of washing and mechanical separation of the fiberglass were carried out. As a result, a fibrous phase, which is a glass fiber, was isolated, and a liquid phase containing dissolved organic components and a binder was obtained. After settling and vacuum filtration, the system was clearly divided into solid and liquid parts. At the end of the distillation, the amount of acetone and the remaining cubic residue were determined.</w:t>
      </w:r>
      <w:r>
        <w:rPr>
          <w:rFonts w:hint="default" w:ascii="Arial" w:hAnsi="Arial"/>
          <w:sz w:val="20"/>
          <w:szCs w:val="20"/>
          <w:lang w:val="en-US"/>
        </w:rPr>
        <w:t xml:space="preserve"> </w:t>
      </w:r>
      <w:r>
        <w:rPr>
          <w:rFonts w:hint="default" w:ascii="Arial" w:hAnsi="Arial"/>
          <w:sz w:val="20"/>
          <w:szCs w:val="20"/>
          <w:lang w:val="ru-RU"/>
        </w:rPr>
        <w:t>The material balance of the composition of the Menzolit BMC 3102 composite material is</w:t>
      </w:r>
      <w:r>
        <w:rPr>
          <w:rFonts w:hint="default" w:ascii="Arial" w:hAnsi="Arial"/>
          <w:sz w:val="20"/>
          <w:szCs w:val="20"/>
          <w:lang w:val="en-US"/>
        </w:rPr>
        <w:t xml:space="preserve"> </w:t>
      </w:r>
      <w:r>
        <w:rPr>
          <w:rFonts w:hint="default" w:ascii="Arial" w:hAnsi="Arial"/>
          <w:sz w:val="20"/>
          <w:szCs w:val="20"/>
          <w:lang w:val="ru-RU"/>
        </w:rPr>
        <w:t>shown in Table 2.</w:t>
      </w:r>
      <w:r>
        <w:rPr>
          <w:rFonts w:hint="default" w:ascii="Arial" w:hAnsi="Arial" w:cs="Arial"/>
          <w:sz w:val="20"/>
          <w:szCs w:val="20"/>
          <w:lang w:val="ru-RU"/>
        </w:rPr>
        <w:t xml:space="preserve">                                                                                                            </w:t>
      </w:r>
    </w:p>
    <w:p w14:paraId="791B0C36">
      <w:pPr>
        <w:jc w:val="both"/>
        <w:rPr>
          <w:rFonts w:hint="default" w:ascii="Arial" w:hAnsi="Arial"/>
          <w:sz w:val="20"/>
          <w:szCs w:val="20"/>
          <w:lang w:val="ru-RU"/>
        </w:rPr>
      </w:pPr>
      <w:r>
        <w:rPr>
          <w:rFonts w:hint="default" w:ascii="Arial" w:hAnsi="Arial"/>
          <w:sz w:val="20"/>
          <w:szCs w:val="20"/>
          <w:lang w:val="ru-RU"/>
        </w:rPr>
        <w:t>Table 2</w:t>
      </w:r>
    </w:p>
    <w:p w14:paraId="1E094DB7">
      <w:pPr>
        <w:jc w:val="both"/>
        <w:rPr>
          <w:rFonts w:hint="default" w:ascii="Arial" w:hAnsi="Arial" w:cs="Arial"/>
          <w:b w:val="0"/>
          <w:bCs w:val="0"/>
          <w:sz w:val="20"/>
          <w:szCs w:val="20"/>
          <w:lang w:val="ru-RU"/>
        </w:rPr>
      </w:pPr>
      <w:r>
        <w:rPr>
          <w:rFonts w:hint="default" w:ascii="Arial" w:hAnsi="Arial"/>
          <w:b w:val="0"/>
          <w:bCs w:val="0"/>
          <w:sz w:val="20"/>
          <w:szCs w:val="20"/>
          <w:lang w:val="ru-RU"/>
        </w:rPr>
        <w:t>Composition of Menzolit BMC 3102 composite material</w:t>
      </w:r>
    </w:p>
    <w:tbl>
      <w:tblPr>
        <w:tblStyle w:val="12"/>
        <w:tblW w:w="81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3"/>
        <w:gridCol w:w="2161"/>
        <w:gridCol w:w="2036"/>
        <w:gridCol w:w="16"/>
        <w:gridCol w:w="968"/>
        <w:gridCol w:w="1085"/>
      </w:tblGrid>
      <w:tr w14:paraId="32FB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4074" w:type="dxa"/>
            <w:gridSpan w:val="2"/>
          </w:tcPr>
          <w:p w14:paraId="6BF1F9AD">
            <w:pPr>
              <w:widowControl w:val="0"/>
              <w:jc w:val="both"/>
              <w:rPr>
                <w:rFonts w:hint="default" w:ascii="Arial" w:hAnsi="Arial" w:cs="Arial"/>
                <w:sz w:val="20"/>
                <w:szCs w:val="20"/>
                <w:lang w:val="ru-RU"/>
              </w:rPr>
            </w:pPr>
            <w:r>
              <w:rPr>
                <w:rFonts w:hint="default" w:ascii="Arial" w:hAnsi="Arial" w:cs="Arial"/>
                <w:sz w:val="20"/>
                <w:szCs w:val="20"/>
                <w:lang w:val="ru-RU"/>
              </w:rPr>
              <w:t>Parish, gr</w:t>
            </w:r>
          </w:p>
        </w:tc>
        <w:tc>
          <w:tcPr>
            <w:tcW w:w="3020" w:type="dxa"/>
            <w:gridSpan w:val="3"/>
          </w:tcPr>
          <w:p w14:paraId="3D0440B5">
            <w:pPr>
              <w:widowControl w:val="0"/>
              <w:jc w:val="both"/>
              <w:rPr>
                <w:rFonts w:hint="default" w:ascii="Arial" w:hAnsi="Arial" w:cs="Arial"/>
                <w:sz w:val="20"/>
                <w:szCs w:val="20"/>
                <w:lang w:val="ru-RU"/>
              </w:rPr>
            </w:pPr>
            <w:r>
              <w:rPr>
                <w:rFonts w:hint="default" w:ascii="Arial" w:hAnsi="Arial" w:cs="Arial"/>
                <w:sz w:val="20"/>
                <w:szCs w:val="20"/>
                <w:lang w:val="ru-RU"/>
              </w:rPr>
              <w:t>Consumption, gr</w:t>
            </w:r>
          </w:p>
        </w:tc>
        <w:tc>
          <w:tcPr>
            <w:tcW w:w="1085" w:type="dxa"/>
          </w:tcPr>
          <w:p w14:paraId="67333818">
            <w:pPr>
              <w:widowControl w:val="0"/>
              <w:jc w:val="both"/>
              <w:rPr>
                <w:rFonts w:hint="default" w:ascii="Arial" w:hAnsi="Arial" w:cs="Arial"/>
                <w:sz w:val="20"/>
                <w:szCs w:val="20"/>
              </w:rPr>
            </w:pPr>
            <w:r>
              <w:rPr>
                <w:rFonts w:hint="default" w:ascii="Arial" w:hAnsi="Arial" w:cs="Arial"/>
                <w:sz w:val="20"/>
                <w:szCs w:val="20"/>
              </w:rPr>
              <w:t>Product output, %</w:t>
            </w:r>
          </w:p>
        </w:tc>
      </w:tr>
      <w:tr w14:paraId="4EC59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913" w:type="dxa"/>
          </w:tcPr>
          <w:p w14:paraId="0179B769">
            <w:pPr>
              <w:widowControl w:val="0"/>
              <w:numPr>
                <w:ilvl w:val="0"/>
                <w:numId w:val="1"/>
              </w:numPr>
              <w:jc w:val="both"/>
              <w:rPr>
                <w:rFonts w:hint="default" w:ascii="Arial" w:hAnsi="Arial" w:cs="Arial"/>
                <w:sz w:val="20"/>
                <w:szCs w:val="20"/>
                <w:lang w:val="ru-RU"/>
              </w:rPr>
            </w:pPr>
            <w:r>
              <w:rPr>
                <w:rFonts w:hint="default" w:ascii="Arial" w:hAnsi="Arial" w:cs="Arial"/>
                <w:sz w:val="20"/>
                <w:szCs w:val="20"/>
              </w:rPr>
              <w:t>Menzolit BMC 3102</w:t>
            </w:r>
          </w:p>
        </w:tc>
        <w:tc>
          <w:tcPr>
            <w:tcW w:w="2161" w:type="dxa"/>
          </w:tcPr>
          <w:p w14:paraId="357DD784">
            <w:pPr>
              <w:widowControl w:val="0"/>
              <w:jc w:val="both"/>
              <w:rPr>
                <w:rFonts w:hint="default" w:ascii="Arial" w:hAnsi="Arial" w:cs="Arial"/>
                <w:sz w:val="20"/>
                <w:szCs w:val="20"/>
                <w:lang w:val="ru-RU"/>
              </w:rPr>
            </w:pPr>
            <w:r>
              <w:rPr>
                <w:rFonts w:hint="default" w:ascii="Arial" w:hAnsi="Arial" w:cs="Arial"/>
                <w:sz w:val="20"/>
                <w:szCs w:val="20"/>
                <w:lang w:val="ru-RU"/>
              </w:rPr>
              <w:t>301</w:t>
            </w:r>
          </w:p>
        </w:tc>
        <w:tc>
          <w:tcPr>
            <w:tcW w:w="2036" w:type="dxa"/>
          </w:tcPr>
          <w:p w14:paraId="37C1A86A">
            <w:pPr>
              <w:widowControl w:val="0"/>
              <w:numPr>
                <w:ilvl w:val="0"/>
                <w:numId w:val="2"/>
              </w:numPr>
              <w:jc w:val="both"/>
              <w:rPr>
                <w:rFonts w:hint="default" w:ascii="Arial" w:hAnsi="Arial" w:cs="Arial"/>
                <w:sz w:val="20"/>
                <w:szCs w:val="20"/>
              </w:rPr>
            </w:pPr>
            <w:r>
              <w:rPr>
                <w:rFonts w:hint="default" w:ascii="Arial" w:hAnsi="Arial" w:cs="Arial"/>
                <w:sz w:val="20"/>
                <w:szCs w:val="20"/>
              </w:rPr>
              <w:t>Fiberglass</w:t>
            </w:r>
          </w:p>
        </w:tc>
        <w:tc>
          <w:tcPr>
            <w:tcW w:w="984" w:type="dxa"/>
            <w:gridSpan w:val="2"/>
          </w:tcPr>
          <w:p w14:paraId="1B66B810">
            <w:pPr>
              <w:widowControl w:val="0"/>
              <w:jc w:val="both"/>
              <w:rPr>
                <w:rFonts w:hint="default" w:ascii="Arial" w:hAnsi="Arial" w:cs="Arial"/>
                <w:sz w:val="20"/>
                <w:szCs w:val="20"/>
                <w:lang w:val="ru-RU"/>
              </w:rPr>
            </w:pPr>
            <w:r>
              <w:rPr>
                <w:rFonts w:hint="default" w:ascii="Arial" w:hAnsi="Arial" w:cs="Arial"/>
                <w:sz w:val="20"/>
                <w:szCs w:val="20"/>
                <w:lang w:val="ru-RU"/>
              </w:rPr>
              <w:t>62,160</w:t>
            </w:r>
          </w:p>
        </w:tc>
        <w:tc>
          <w:tcPr>
            <w:tcW w:w="1085" w:type="dxa"/>
          </w:tcPr>
          <w:p w14:paraId="4EAFF136">
            <w:pPr>
              <w:widowControl w:val="0"/>
              <w:jc w:val="both"/>
              <w:rPr>
                <w:rFonts w:hint="default" w:ascii="Arial" w:hAnsi="Arial" w:cs="Arial"/>
                <w:sz w:val="20"/>
                <w:szCs w:val="20"/>
                <w:lang w:val="ru-RU"/>
              </w:rPr>
            </w:pPr>
            <w:r>
              <w:rPr>
                <w:rFonts w:hint="default" w:ascii="Arial" w:hAnsi="Arial" w:cs="Arial"/>
                <w:sz w:val="20"/>
                <w:szCs w:val="20"/>
                <w:lang w:val="ru-RU"/>
              </w:rPr>
              <w:t>20,65</w:t>
            </w:r>
          </w:p>
        </w:tc>
      </w:tr>
      <w:tr w14:paraId="4DC52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913" w:type="dxa"/>
          </w:tcPr>
          <w:p w14:paraId="0D0C3817">
            <w:pPr>
              <w:widowControl w:val="0"/>
              <w:numPr>
                <w:ilvl w:val="0"/>
                <w:numId w:val="1"/>
              </w:numPr>
              <w:jc w:val="both"/>
              <w:rPr>
                <w:rFonts w:hint="default" w:ascii="Arial" w:hAnsi="Arial" w:cs="Arial"/>
                <w:sz w:val="20"/>
                <w:szCs w:val="20"/>
                <w:lang w:val="ru-RU"/>
              </w:rPr>
            </w:pPr>
            <w:r>
              <w:rPr>
                <w:rFonts w:hint="default" w:ascii="Arial" w:hAnsi="Arial" w:cs="Arial"/>
                <w:sz w:val="20"/>
                <w:szCs w:val="20"/>
              </w:rPr>
              <w:t>Acetone</w:t>
            </w:r>
          </w:p>
        </w:tc>
        <w:tc>
          <w:tcPr>
            <w:tcW w:w="2161" w:type="dxa"/>
          </w:tcPr>
          <w:p w14:paraId="28D071D8">
            <w:pPr>
              <w:widowControl w:val="0"/>
              <w:jc w:val="both"/>
              <w:rPr>
                <w:rFonts w:hint="default" w:ascii="Arial" w:hAnsi="Arial" w:cs="Arial"/>
                <w:sz w:val="20"/>
                <w:szCs w:val="20"/>
                <w:lang w:val="ru-RU"/>
              </w:rPr>
            </w:pPr>
            <w:r>
              <w:rPr>
                <w:rFonts w:hint="default" w:ascii="Arial" w:hAnsi="Arial" w:cs="Arial"/>
                <w:sz w:val="20"/>
                <w:szCs w:val="20"/>
                <w:lang w:val="ru-RU"/>
              </w:rPr>
              <w:t>800</w:t>
            </w:r>
          </w:p>
        </w:tc>
        <w:tc>
          <w:tcPr>
            <w:tcW w:w="2036" w:type="dxa"/>
          </w:tcPr>
          <w:p w14:paraId="5FAC3ABE">
            <w:pPr>
              <w:widowControl w:val="0"/>
              <w:jc w:val="both"/>
              <w:rPr>
                <w:rFonts w:hint="default" w:ascii="Arial" w:hAnsi="Arial" w:cs="Arial"/>
                <w:sz w:val="20"/>
                <w:szCs w:val="20"/>
                <w:lang w:val="ru-RU"/>
              </w:rPr>
            </w:pPr>
            <w:r>
              <w:rPr>
                <w:rFonts w:hint="default" w:ascii="Arial" w:hAnsi="Arial" w:cs="Arial"/>
                <w:sz w:val="20"/>
                <w:szCs w:val="20"/>
                <w:lang w:val="ru-RU"/>
              </w:rPr>
              <w:t>2.</w:t>
            </w:r>
            <w:r>
              <w:rPr>
                <w:rFonts w:hint="default" w:ascii="Arial" w:hAnsi="Arial" w:cs="Arial"/>
                <w:sz w:val="20"/>
                <w:szCs w:val="20"/>
              </w:rPr>
              <w:t xml:space="preserve"> </w:t>
            </w:r>
            <w:r>
              <w:rPr>
                <w:rFonts w:hint="default" w:ascii="Arial" w:hAnsi="Arial" w:cs="Arial"/>
                <w:sz w:val="20"/>
                <w:szCs w:val="20"/>
                <w:lang w:val="ru-RU"/>
              </w:rPr>
              <w:t>Solid phase</w:t>
            </w:r>
          </w:p>
        </w:tc>
        <w:tc>
          <w:tcPr>
            <w:tcW w:w="984" w:type="dxa"/>
            <w:gridSpan w:val="2"/>
          </w:tcPr>
          <w:p w14:paraId="6D566B9B">
            <w:pPr>
              <w:widowControl w:val="0"/>
              <w:jc w:val="both"/>
              <w:rPr>
                <w:rFonts w:hint="default" w:ascii="Arial" w:hAnsi="Arial" w:cs="Arial"/>
                <w:sz w:val="20"/>
                <w:szCs w:val="20"/>
                <w:lang w:val="ru-RU"/>
              </w:rPr>
            </w:pPr>
            <w:r>
              <w:rPr>
                <w:rFonts w:hint="default" w:ascii="Arial" w:hAnsi="Arial" w:cs="Arial"/>
                <w:sz w:val="20"/>
                <w:szCs w:val="20"/>
                <w:lang w:val="ru-RU"/>
              </w:rPr>
              <w:t>167,733</w:t>
            </w:r>
          </w:p>
        </w:tc>
        <w:tc>
          <w:tcPr>
            <w:tcW w:w="1085" w:type="dxa"/>
          </w:tcPr>
          <w:p w14:paraId="276AF852">
            <w:pPr>
              <w:widowControl w:val="0"/>
              <w:jc w:val="both"/>
              <w:rPr>
                <w:rFonts w:hint="default" w:ascii="Arial" w:hAnsi="Arial" w:cs="Arial"/>
                <w:sz w:val="20"/>
                <w:szCs w:val="20"/>
                <w:lang w:val="ru-RU"/>
              </w:rPr>
            </w:pPr>
            <w:r>
              <w:rPr>
                <w:rFonts w:hint="default" w:ascii="Arial" w:hAnsi="Arial" w:cs="Arial"/>
                <w:sz w:val="20"/>
                <w:szCs w:val="20"/>
                <w:lang w:val="ru-RU"/>
              </w:rPr>
              <w:t>55,72</w:t>
            </w:r>
          </w:p>
        </w:tc>
      </w:tr>
      <w:tr w14:paraId="7AF8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913" w:type="dxa"/>
          </w:tcPr>
          <w:p w14:paraId="1EA50E2B">
            <w:pPr>
              <w:widowControl w:val="0"/>
              <w:jc w:val="both"/>
              <w:rPr>
                <w:rFonts w:hint="default" w:ascii="Arial" w:hAnsi="Arial" w:cs="Arial"/>
                <w:sz w:val="20"/>
                <w:szCs w:val="20"/>
                <w:lang w:val="ru-RU"/>
              </w:rPr>
            </w:pPr>
          </w:p>
        </w:tc>
        <w:tc>
          <w:tcPr>
            <w:tcW w:w="2161" w:type="dxa"/>
          </w:tcPr>
          <w:p w14:paraId="3D1D4955">
            <w:pPr>
              <w:widowControl w:val="0"/>
              <w:jc w:val="both"/>
              <w:rPr>
                <w:rFonts w:hint="default" w:ascii="Arial" w:hAnsi="Arial" w:cs="Arial"/>
                <w:sz w:val="20"/>
                <w:szCs w:val="20"/>
                <w:lang w:val="ru-RU"/>
              </w:rPr>
            </w:pPr>
          </w:p>
        </w:tc>
        <w:tc>
          <w:tcPr>
            <w:tcW w:w="2036" w:type="dxa"/>
          </w:tcPr>
          <w:p w14:paraId="2793272F">
            <w:pPr>
              <w:widowControl w:val="0"/>
              <w:numPr>
                <w:ilvl w:val="0"/>
                <w:numId w:val="1"/>
              </w:numPr>
              <w:jc w:val="both"/>
              <w:rPr>
                <w:rFonts w:hint="default" w:ascii="Arial" w:hAnsi="Arial" w:cs="Arial"/>
                <w:sz w:val="20"/>
                <w:szCs w:val="20"/>
                <w:lang w:val="ru-RU"/>
              </w:rPr>
            </w:pPr>
            <w:r>
              <w:rPr>
                <w:rFonts w:hint="default" w:ascii="Arial" w:hAnsi="Arial" w:cs="Arial"/>
                <w:sz w:val="20"/>
                <w:szCs w:val="20"/>
              </w:rPr>
              <w:t>Cubic residue</w:t>
            </w:r>
          </w:p>
        </w:tc>
        <w:tc>
          <w:tcPr>
            <w:tcW w:w="984" w:type="dxa"/>
            <w:gridSpan w:val="2"/>
          </w:tcPr>
          <w:p w14:paraId="5352FFBA">
            <w:pPr>
              <w:widowControl w:val="0"/>
              <w:jc w:val="both"/>
              <w:rPr>
                <w:rFonts w:hint="default" w:ascii="Arial" w:hAnsi="Arial" w:cs="Arial"/>
                <w:sz w:val="20"/>
                <w:szCs w:val="20"/>
                <w:lang w:val="ru-RU"/>
              </w:rPr>
            </w:pPr>
            <w:r>
              <w:rPr>
                <w:rFonts w:hint="default" w:ascii="Arial" w:hAnsi="Arial" w:cs="Arial"/>
                <w:sz w:val="20"/>
                <w:szCs w:val="20"/>
                <w:lang w:val="ru-RU"/>
              </w:rPr>
              <w:t>71,161</w:t>
            </w:r>
          </w:p>
        </w:tc>
        <w:tc>
          <w:tcPr>
            <w:tcW w:w="1085" w:type="dxa"/>
          </w:tcPr>
          <w:p w14:paraId="3229719D">
            <w:pPr>
              <w:widowControl w:val="0"/>
              <w:jc w:val="both"/>
              <w:rPr>
                <w:rFonts w:hint="default" w:ascii="Arial" w:hAnsi="Arial" w:cs="Arial"/>
                <w:sz w:val="20"/>
                <w:szCs w:val="20"/>
                <w:lang w:val="ru-RU"/>
              </w:rPr>
            </w:pPr>
            <w:r>
              <w:rPr>
                <w:rFonts w:hint="default" w:ascii="Arial" w:hAnsi="Arial" w:cs="Arial"/>
                <w:sz w:val="20"/>
                <w:szCs w:val="20"/>
                <w:lang w:val="ru-RU"/>
              </w:rPr>
              <w:t>23,64</w:t>
            </w:r>
          </w:p>
        </w:tc>
      </w:tr>
      <w:tr w14:paraId="3AAD5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913" w:type="dxa"/>
          </w:tcPr>
          <w:p w14:paraId="28B5AF60">
            <w:pPr>
              <w:widowControl w:val="0"/>
              <w:jc w:val="both"/>
              <w:rPr>
                <w:rFonts w:hint="default" w:ascii="Arial" w:hAnsi="Arial" w:cs="Arial"/>
                <w:sz w:val="20"/>
                <w:szCs w:val="20"/>
                <w:lang w:val="ru-RU"/>
              </w:rPr>
            </w:pPr>
          </w:p>
        </w:tc>
        <w:tc>
          <w:tcPr>
            <w:tcW w:w="2161" w:type="dxa"/>
          </w:tcPr>
          <w:p w14:paraId="5D15BB08">
            <w:pPr>
              <w:widowControl w:val="0"/>
              <w:jc w:val="both"/>
              <w:rPr>
                <w:rFonts w:hint="default" w:ascii="Arial" w:hAnsi="Arial" w:cs="Arial"/>
                <w:sz w:val="20"/>
                <w:szCs w:val="20"/>
                <w:lang w:val="ru-RU"/>
              </w:rPr>
            </w:pPr>
          </w:p>
        </w:tc>
        <w:tc>
          <w:tcPr>
            <w:tcW w:w="2036" w:type="dxa"/>
          </w:tcPr>
          <w:p w14:paraId="25B514D9">
            <w:pPr>
              <w:widowControl w:val="0"/>
              <w:numPr>
                <w:ilvl w:val="0"/>
                <w:numId w:val="1"/>
              </w:numPr>
              <w:jc w:val="both"/>
              <w:rPr>
                <w:rFonts w:hint="default" w:ascii="Arial" w:hAnsi="Arial" w:cs="Arial"/>
                <w:sz w:val="20"/>
                <w:szCs w:val="20"/>
                <w:lang w:val="ru-RU"/>
              </w:rPr>
            </w:pPr>
            <w:r>
              <w:rPr>
                <w:rFonts w:hint="default" w:ascii="Arial" w:hAnsi="Arial" w:cs="Arial"/>
                <w:sz w:val="20"/>
                <w:szCs w:val="20"/>
              </w:rPr>
              <w:t>Acetone (after distillation)</w:t>
            </w:r>
          </w:p>
        </w:tc>
        <w:tc>
          <w:tcPr>
            <w:tcW w:w="984" w:type="dxa"/>
            <w:gridSpan w:val="2"/>
          </w:tcPr>
          <w:p w14:paraId="2EED94BC">
            <w:pPr>
              <w:widowControl w:val="0"/>
              <w:jc w:val="both"/>
              <w:rPr>
                <w:rFonts w:hint="default" w:ascii="Arial" w:hAnsi="Arial" w:cs="Arial"/>
                <w:sz w:val="20"/>
                <w:szCs w:val="20"/>
                <w:lang w:val="ru-RU"/>
              </w:rPr>
            </w:pPr>
            <w:r>
              <w:rPr>
                <w:rFonts w:hint="default" w:ascii="Arial" w:hAnsi="Arial" w:cs="Arial"/>
                <w:sz w:val="20"/>
                <w:szCs w:val="20"/>
                <w:lang w:val="ru-RU"/>
              </w:rPr>
              <w:t>757,94</w:t>
            </w:r>
          </w:p>
        </w:tc>
        <w:tc>
          <w:tcPr>
            <w:tcW w:w="1085" w:type="dxa"/>
          </w:tcPr>
          <w:p w14:paraId="6B6FCA35">
            <w:pPr>
              <w:widowControl w:val="0"/>
              <w:jc w:val="both"/>
              <w:rPr>
                <w:rFonts w:hint="default" w:ascii="Arial" w:hAnsi="Arial" w:cs="Arial"/>
                <w:sz w:val="20"/>
                <w:szCs w:val="20"/>
                <w:lang w:val="ru-RU"/>
              </w:rPr>
            </w:pPr>
          </w:p>
        </w:tc>
      </w:tr>
      <w:tr w14:paraId="69727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913" w:type="dxa"/>
          </w:tcPr>
          <w:p w14:paraId="26398352">
            <w:pPr>
              <w:widowControl w:val="0"/>
              <w:jc w:val="both"/>
              <w:rPr>
                <w:rFonts w:hint="default" w:ascii="Arial" w:hAnsi="Arial" w:cs="Arial"/>
                <w:sz w:val="20"/>
                <w:szCs w:val="20"/>
                <w:lang w:val="ru-RU"/>
              </w:rPr>
            </w:pPr>
          </w:p>
        </w:tc>
        <w:tc>
          <w:tcPr>
            <w:tcW w:w="2161" w:type="dxa"/>
          </w:tcPr>
          <w:p w14:paraId="076FB65C">
            <w:pPr>
              <w:widowControl w:val="0"/>
              <w:jc w:val="both"/>
              <w:rPr>
                <w:rFonts w:hint="default" w:ascii="Arial" w:hAnsi="Arial" w:cs="Arial"/>
                <w:sz w:val="20"/>
                <w:szCs w:val="20"/>
                <w:lang w:val="ru-RU"/>
              </w:rPr>
            </w:pPr>
          </w:p>
        </w:tc>
        <w:tc>
          <w:tcPr>
            <w:tcW w:w="2036" w:type="dxa"/>
          </w:tcPr>
          <w:p w14:paraId="63B3AB88">
            <w:pPr>
              <w:widowControl w:val="0"/>
              <w:numPr>
                <w:ilvl w:val="0"/>
                <w:numId w:val="1"/>
              </w:numPr>
              <w:jc w:val="both"/>
              <w:rPr>
                <w:rFonts w:hint="default" w:ascii="Arial" w:hAnsi="Arial" w:cs="Arial"/>
                <w:sz w:val="20"/>
                <w:szCs w:val="20"/>
                <w:lang w:val="ru-RU"/>
              </w:rPr>
            </w:pPr>
            <w:r>
              <w:rPr>
                <w:rFonts w:hint="default" w:ascii="Arial" w:hAnsi="Arial" w:cs="Arial"/>
                <w:sz w:val="20"/>
                <w:szCs w:val="20"/>
              </w:rPr>
              <w:t>Acetone loss</w:t>
            </w:r>
          </w:p>
        </w:tc>
        <w:tc>
          <w:tcPr>
            <w:tcW w:w="984" w:type="dxa"/>
            <w:gridSpan w:val="2"/>
          </w:tcPr>
          <w:p w14:paraId="7EC85E83">
            <w:pPr>
              <w:widowControl w:val="0"/>
              <w:jc w:val="both"/>
              <w:rPr>
                <w:rFonts w:hint="default" w:ascii="Arial" w:hAnsi="Arial" w:cs="Arial"/>
                <w:sz w:val="20"/>
                <w:szCs w:val="20"/>
                <w:lang w:val="ru-RU"/>
              </w:rPr>
            </w:pPr>
            <w:r>
              <w:rPr>
                <w:rFonts w:hint="default" w:ascii="Arial" w:hAnsi="Arial" w:cs="Arial"/>
                <w:sz w:val="20"/>
                <w:szCs w:val="20"/>
                <w:lang w:val="ru-RU"/>
              </w:rPr>
              <w:t>40</w:t>
            </w:r>
            <w:r>
              <w:rPr>
                <w:rFonts w:hint="default" w:ascii="Arial" w:hAnsi="Arial" w:cs="Arial"/>
                <w:sz w:val="20"/>
                <w:szCs w:val="20"/>
                <w:lang w:val="en-US"/>
              </w:rPr>
              <w:t>,</w:t>
            </w:r>
            <w:r>
              <w:rPr>
                <w:rFonts w:hint="default" w:ascii="Arial" w:hAnsi="Arial" w:cs="Arial"/>
                <w:sz w:val="20"/>
                <w:szCs w:val="20"/>
                <w:lang w:val="ru-RU"/>
              </w:rPr>
              <w:t>8</w:t>
            </w:r>
          </w:p>
        </w:tc>
        <w:tc>
          <w:tcPr>
            <w:tcW w:w="1085" w:type="dxa"/>
          </w:tcPr>
          <w:p w14:paraId="67DECD2F">
            <w:pPr>
              <w:widowControl w:val="0"/>
              <w:jc w:val="both"/>
              <w:rPr>
                <w:rFonts w:hint="default" w:ascii="Arial" w:hAnsi="Arial" w:cs="Arial"/>
                <w:sz w:val="20"/>
                <w:szCs w:val="20"/>
                <w:lang w:val="ru-RU"/>
              </w:rPr>
            </w:pPr>
          </w:p>
        </w:tc>
      </w:tr>
      <w:tr w14:paraId="499CC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913" w:type="dxa"/>
          </w:tcPr>
          <w:p w14:paraId="6885F242">
            <w:pPr>
              <w:widowControl w:val="0"/>
              <w:jc w:val="both"/>
              <w:rPr>
                <w:rFonts w:hint="default" w:ascii="Arial" w:hAnsi="Arial" w:cs="Arial"/>
                <w:sz w:val="20"/>
                <w:szCs w:val="20"/>
                <w:lang w:val="kk-KZ"/>
              </w:rPr>
            </w:pPr>
            <w:r>
              <w:rPr>
                <w:rFonts w:hint="default" w:ascii="Arial" w:hAnsi="Arial" w:cs="Arial"/>
                <w:b/>
                <w:bCs/>
                <w:sz w:val="20"/>
                <w:szCs w:val="20"/>
              </w:rPr>
              <w:t>Total:</w:t>
            </w:r>
          </w:p>
        </w:tc>
        <w:tc>
          <w:tcPr>
            <w:tcW w:w="2161" w:type="dxa"/>
          </w:tcPr>
          <w:p w14:paraId="75ABB30D">
            <w:pPr>
              <w:widowControl w:val="0"/>
              <w:jc w:val="both"/>
              <w:rPr>
                <w:rFonts w:hint="default" w:ascii="Arial" w:hAnsi="Arial" w:cs="Arial"/>
                <w:sz w:val="20"/>
                <w:szCs w:val="20"/>
                <w:lang w:val="en-US"/>
              </w:rPr>
            </w:pPr>
            <w:r>
              <w:rPr>
                <w:rFonts w:hint="default" w:ascii="Arial" w:hAnsi="Arial" w:cs="Arial"/>
                <w:sz w:val="20"/>
                <w:szCs w:val="20"/>
              </w:rPr>
              <w:t>1101</w:t>
            </w:r>
            <w:r>
              <w:rPr>
                <w:rFonts w:hint="default" w:ascii="Arial" w:hAnsi="Arial" w:cs="Arial"/>
                <w:sz w:val="20"/>
                <w:szCs w:val="20"/>
                <w:lang w:val="en-US"/>
              </w:rPr>
              <w:t>,0</w:t>
            </w:r>
          </w:p>
        </w:tc>
        <w:tc>
          <w:tcPr>
            <w:tcW w:w="2052" w:type="dxa"/>
            <w:gridSpan w:val="2"/>
          </w:tcPr>
          <w:p w14:paraId="5700FB33">
            <w:pPr>
              <w:widowControl w:val="0"/>
              <w:jc w:val="both"/>
              <w:rPr>
                <w:rFonts w:hint="default" w:ascii="Arial" w:hAnsi="Arial" w:cs="Arial"/>
                <w:sz w:val="20"/>
                <w:szCs w:val="20"/>
                <w:lang w:val="ru-RU"/>
              </w:rPr>
            </w:pPr>
            <w:r>
              <w:rPr>
                <w:rFonts w:hint="default" w:ascii="Arial" w:hAnsi="Arial" w:cs="Arial"/>
                <w:b/>
                <w:bCs/>
                <w:sz w:val="20"/>
                <w:szCs w:val="20"/>
              </w:rPr>
              <w:t>Total:</w:t>
            </w:r>
          </w:p>
        </w:tc>
        <w:tc>
          <w:tcPr>
            <w:tcW w:w="2053" w:type="dxa"/>
            <w:gridSpan w:val="2"/>
          </w:tcPr>
          <w:p w14:paraId="5BB1A892">
            <w:pPr>
              <w:widowControl w:val="0"/>
              <w:jc w:val="both"/>
              <w:rPr>
                <w:rFonts w:hint="default" w:ascii="Arial" w:hAnsi="Arial" w:cs="Arial"/>
                <w:sz w:val="20"/>
                <w:szCs w:val="20"/>
                <w:lang w:val="en-US"/>
              </w:rPr>
            </w:pPr>
            <w:r>
              <w:rPr>
                <w:rFonts w:hint="default" w:ascii="Arial" w:hAnsi="Arial" w:cs="Arial"/>
                <w:sz w:val="20"/>
                <w:szCs w:val="20"/>
                <w:lang w:val="ru-RU"/>
              </w:rPr>
              <w:t>1101</w:t>
            </w:r>
            <w:r>
              <w:rPr>
                <w:rFonts w:hint="default" w:ascii="Arial" w:hAnsi="Arial" w:cs="Arial"/>
                <w:sz w:val="20"/>
                <w:szCs w:val="20"/>
                <w:lang w:val="en-US"/>
              </w:rPr>
              <w:t>,0</w:t>
            </w:r>
          </w:p>
        </w:tc>
      </w:tr>
    </w:tbl>
    <w:p w14:paraId="138E8796">
      <w:pPr>
        <w:jc w:val="both"/>
        <w:rPr>
          <w:rFonts w:hint="default" w:ascii="Arial" w:hAnsi="Arial" w:cs="Arial"/>
          <w:sz w:val="20"/>
          <w:szCs w:val="20"/>
          <w:lang w:val="ru-RU"/>
        </w:rPr>
      </w:pPr>
    </w:p>
    <w:p w14:paraId="0A39F1B9">
      <w:pPr>
        <w:jc w:val="both"/>
        <w:rPr>
          <w:rFonts w:hint="default" w:ascii="Arial" w:hAnsi="Arial"/>
          <w:sz w:val="20"/>
          <w:szCs w:val="20"/>
          <w:lang w:val="ru-RU"/>
        </w:rPr>
      </w:pPr>
      <w:r>
        <w:rPr>
          <w:rFonts w:hint="default" w:ascii="Arial" w:hAnsi="Arial"/>
          <w:sz w:val="20"/>
          <w:szCs w:val="20"/>
          <w:lang w:val="ru-RU"/>
        </w:rPr>
        <w:t>Table 2 shows that acetone losses have occurred. This is most likely due to evaporation during heating. The study of the composition showed that the composite consists of glass fiber – 20.65%, mineral filler – 55.72% and binder – 23.64%.</w:t>
      </w:r>
    </w:p>
    <w:p w14:paraId="29E2AD69">
      <w:pPr>
        <w:jc w:val="both"/>
        <w:rPr>
          <w:rFonts w:hint="default" w:ascii="Arial" w:hAnsi="Arial"/>
          <w:sz w:val="20"/>
          <w:szCs w:val="20"/>
          <w:lang w:val="ru-RU"/>
        </w:rPr>
      </w:pPr>
      <w:r>
        <w:rPr>
          <w:rFonts w:hint="default" w:ascii="Arial" w:hAnsi="Arial"/>
          <w:sz w:val="20"/>
          <w:szCs w:val="20"/>
          <w:lang w:val="ru-RU"/>
        </w:rPr>
        <w:t>The cubic sediment spontaneously divided into layers. Each layer was subjected to distillation and the physico-chemical properties were studied. During the distillation of the first layer, when a temperature of 77 °C was reached in the vapor phase, a colorless liquid was released into the receiver.</w:t>
      </w:r>
    </w:p>
    <w:p w14:paraId="1E236DD3">
      <w:pPr>
        <w:ind w:firstLine="708"/>
        <w:jc w:val="both"/>
        <w:rPr>
          <w:rFonts w:hint="default" w:ascii="Arial" w:hAnsi="Arial"/>
          <w:sz w:val="20"/>
          <w:szCs w:val="20"/>
          <w:lang w:val="ru-RU"/>
        </w:rPr>
      </w:pPr>
    </w:p>
    <w:p w14:paraId="02424ECA">
      <w:pPr>
        <w:jc w:val="both"/>
        <w:rPr>
          <w:rFonts w:hint="default" w:ascii="Arial" w:hAnsi="Arial"/>
          <w:sz w:val="20"/>
          <w:szCs w:val="20"/>
          <w:lang w:val="ru-RU"/>
        </w:rPr>
      </w:pPr>
    </w:p>
    <w:p w14:paraId="087764CC">
      <w:pPr>
        <w:jc w:val="both"/>
        <w:rPr>
          <w:rFonts w:hint="default" w:ascii="Arial" w:hAnsi="Arial" w:cs="Arial"/>
          <w:sz w:val="20"/>
          <w:szCs w:val="20"/>
          <w:lang w:val="ru-RU"/>
        </w:rPr>
      </w:pPr>
      <w:r>
        <w:rPr>
          <w:rFonts w:hint="default" w:ascii="Arial" w:hAnsi="Arial" w:cs="Arial"/>
          <w:sz w:val="20"/>
          <w:szCs w:val="20"/>
          <w:lang w:val="ru-RU"/>
        </w:rPr>
        <w:drawing>
          <wp:inline distT="0" distB="0" distL="114300" distR="114300">
            <wp:extent cx="4371340" cy="3253105"/>
            <wp:effectExtent l="0" t="0" r="10160"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4371340" cy="3253105"/>
                    </a:xfrm>
                    <a:prstGeom prst="rect">
                      <a:avLst/>
                    </a:prstGeom>
                    <a:noFill/>
                    <a:ln>
                      <a:noFill/>
                    </a:ln>
                  </pic:spPr>
                </pic:pic>
              </a:graphicData>
            </a:graphic>
          </wp:inline>
        </w:drawing>
      </w:r>
    </w:p>
    <w:p w14:paraId="03E46F1F">
      <w:pPr>
        <w:jc w:val="both"/>
        <w:rPr>
          <w:rFonts w:hint="default" w:ascii="Arial" w:hAnsi="Arial"/>
          <w:b/>
          <w:bCs/>
          <w:sz w:val="20"/>
          <w:szCs w:val="20"/>
          <w:lang w:val="ru-RU"/>
        </w:rPr>
      </w:pPr>
      <w:r>
        <w:rPr>
          <w:rFonts w:hint="default" w:ascii="Arial" w:hAnsi="Arial"/>
          <w:b/>
          <w:bCs/>
          <w:sz w:val="20"/>
          <w:szCs w:val="20"/>
          <w:lang w:val="ru-RU"/>
        </w:rPr>
        <w:t>Fig.1. IR spectroscopy of the second fraction of the cubic residue</w:t>
      </w:r>
    </w:p>
    <w:p w14:paraId="5598E4A6">
      <w:pPr>
        <w:ind w:firstLine="708"/>
        <w:jc w:val="both"/>
        <w:rPr>
          <w:rFonts w:hint="default" w:ascii="Arial" w:hAnsi="Arial"/>
          <w:b/>
          <w:bCs/>
          <w:sz w:val="20"/>
          <w:szCs w:val="20"/>
          <w:lang w:val="ru-RU"/>
        </w:rPr>
      </w:pPr>
    </w:p>
    <w:p w14:paraId="6CCE6262">
      <w:pPr>
        <w:jc w:val="both"/>
        <w:rPr>
          <w:rFonts w:hint="default" w:ascii="Arial" w:hAnsi="Arial"/>
          <w:sz w:val="20"/>
          <w:szCs w:val="20"/>
          <w:lang w:val="ru-RU"/>
        </w:rPr>
      </w:pPr>
      <w:r>
        <w:rPr>
          <w:rFonts w:hint="default" w:ascii="Arial" w:hAnsi="Arial"/>
          <w:sz w:val="20"/>
          <w:szCs w:val="20"/>
          <w:lang w:val="ru-RU"/>
        </w:rPr>
        <w:t>Further distillation showed that the main part of this fraction passes into the temperature range close to the boiling point of styrene, which is used as a crosslinking monomer. The second fraction was a viscous fluid. In order to clarify the structure and identify the crosslinking polymer, the samples were subjected to IR spectroscopy (Fig.1).</w:t>
      </w:r>
    </w:p>
    <w:p w14:paraId="2E55F0F4">
      <w:pPr>
        <w:jc w:val="both"/>
        <w:rPr>
          <w:rFonts w:hint="default" w:ascii="Arial" w:hAnsi="Arial" w:cs="Arial"/>
          <w:sz w:val="20"/>
          <w:szCs w:val="20"/>
          <w:lang w:val="ru-RU"/>
        </w:rPr>
      </w:pPr>
      <w:r>
        <w:rPr>
          <w:rFonts w:hint="default" w:ascii="Arial" w:hAnsi="Arial" w:eastAsia="SimSun" w:cs="Arial"/>
          <w:sz w:val="20"/>
          <w:szCs w:val="20"/>
        </w:rPr>
        <w:t>On the IR spectra of the sample (Fig.1), there are transmission bands at 2947, 1448, 773 cm</w:t>
      </w:r>
      <w:r>
        <w:rPr>
          <w:rFonts w:hint="default" w:ascii="Arial" w:hAnsi="Arial" w:eastAsia="SimSun" w:cs="Arial"/>
          <w:sz w:val="20"/>
          <w:szCs w:val="20"/>
          <w:vertAlign w:val="superscript"/>
          <w:lang w:val="en-US"/>
        </w:rPr>
        <w:t>-1</w:t>
      </w:r>
      <w:r>
        <w:rPr>
          <w:rFonts w:hint="default" w:ascii="Arial" w:hAnsi="Arial" w:eastAsia="SimSun" w:cs="Arial"/>
          <w:sz w:val="20"/>
          <w:szCs w:val="20"/>
        </w:rPr>
        <w:t xml:space="preserve"> belonging to the methylene groups, 1716, 1128 cm</w:t>
      </w:r>
      <w:r>
        <w:rPr>
          <w:rFonts w:hint="default" w:ascii="Arial" w:hAnsi="Arial" w:eastAsia="SimSun" w:cs="Arial"/>
          <w:sz w:val="20"/>
          <w:szCs w:val="20"/>
          <w:vertAlign w:val="superscript"/>
          <w:lang w:val="en-US"/>
        </w:rPr>
        <w:t>-1</w:t>
      </w:r>
      <w:r>
        <w:rPr>
          <w:rFonts w:hint="default" w:ascii="Arial" w:hAnsi="Arial" w:eastAsia="SimSun" w:cs="Arial"/>
          <w:sz w:val="20"/>
          <w:szCs w:val="20"/>
        </w:rPr>
        <w:t xml:space="preserve"> </w:t>
      </w:r>
      <w:r>
        <w:rPr>
          <w:rFonts w:hint="default" w:ascii="Arial" w:hAnsi="Arial" w:eastAsia="SimSun" w:cs="Arial"/>
          <w:sz w:val="20"/>
          <w:szCs w:val="20"/>
          <w:lang w:val="en-US"/>
        </w:rPr>
        <w:t>-</w:t>
      </w:r>
      <w:r>
        <w:rPr>
          <w:rFonts w:hint="default" w:ascii="Arial" w:hAnsi="Arial" w:eastAsia="SimSun" w:cs="Arial"/>
          <w:sz w:val="20"/>
          <w:szCs w:val="20"/>
        </w:rPr>
        <w:t xml:space="preserve"> ester group, there are transmission bands of the aromatic ring at 1598 cm</w:t>
      </w:r>
      <w:r>
        <w:rPr>
          <w:rFonts w:hint="default" w:ascii="Arial" w:hAnsi="Arial" w:eastAsia="SimSun" w:cs="Arial"/>
          <w:sz w:val="20"/>
          <w:szCs w:val="20"/>
          <w:vertAlign w:val="superscript"/>
          <w:lang w:val="en-US"/>
        </w:rPr>
        <w:t>-1</w:t>
      </w:r>
      <w:r>
        <w:rPr>
          <w:rFonts w:hint="default" w:ascii="Arial" w:hAnsi="Arial" w:eastAsia="SimSun" w:cs="Arial"/>
          <w:sz w:val="20"/>
          <w:szCs w:val="20"/>
        </w:rPr>
        <w:t>, peaks related to the unsaturated double bonds of the groups at 1645,</w:t>
      </w:r>
      <w:r>
        <w:rPr>
          <w:rFonts w:hint="default" w:ascii="Arial" w:hAnsi="Arial" w:eastAsia="SimSun" w:cs="Arial"/>
          <w:sz w:val="20"/>
          <w:szCs w:val="20"/>
          <w:lang w:val="en-US"/>
        </w:rPr>
        <w:t xml:space="preserve"> </w:t>
      </w:r>
      <w:r>
        <w:rPr>
          <w:rFonts w:hint="default" w:ascii="Arial" w:hAnsi="Arial" w:eastAsia="SimSun" w:cs="Arial"/>
          <w:sz w:val="20"/>
          <w:szCs w:val="20"/>
        </w:rPr>
        <w:t>977</w:t>
      </w:r>
      <w:r>
        <w:rPr>
          <w:rFonts w:hint="default" w:ascii="Arial" w:hAnsi="Arial" w:eastAsia="SimSun" w:cs="Arial"/>
          <w:sz w:val="20"/>
          <w:szCs w:val="20"/>
          <w:lang w:val="en-US"/>
        </w:rPr>
        <w:t xml:space="preserve"> </w:t>
      </w:r>
      <w:r>
        <w:rPr>
          <w:rFonts w:hint="default" w:ascii="Arial" w:hAnsi="Arial" w:eastAsia="SimSun" w:cs="Arial"/>
          <w:sz w:val="20"/>
          <w:szCs w:val="20"/>
        </w:rPr>
        <w:t>cm</w:t>
      </w:r>
      <w:r>
        <w:rPr>
          <w:rFonts w:hint="default" w:ascii="Arial" w:hAnsi="Arial" w:eastAsia="SimSun" w:cs="Arial"/>
          <w:sz w:val="20"/>
          <w:szCs w:val="20"/>
          <w:vertAlign w:val="superscript"/>
          <w:lang w:val="en-US"/>
        </w:rPr>
        <w:t>-1</w:t>
      </w:r>
      <w:r>
        <w:rPr>
          <w:rFonts w:hint="default" w:ascii="Arial" w:hAnsi="Arial" w:eastAsia="SimSun" w:cs="Arial"/>
          <w:sz w:val="20"/>
          <w:szCs w:val="20"/>
        </w:rPr>
        <w:t>.The aromatic ring is not visible at 1940 cm</w:t>
      </w:r>
      <w:r>
        <w:rPr>
          <w:rFonts w:hint="default" w:ascii="Arial" w:hAnsi="Arial" w:eastAsia="SimSun" w:cs="Arial"/>
          <w:sz w:val="20"/>
          <w:szCs w:val="20"/>
          <w:vertAlign w:val="superscript"/>
          <w:lang w:val="en-US"/>
        </w:rPr>
        <w:t>-1</w:t>
      </w:r>
      <w:r>
        <w:rPr>
          <w:rFonts w:hint="default" w:ascii="Arial" w:hAnsi="Arial" w:eastAsia="SimSun" w:cs="Arial"/>
          <w:sz w:val="20"/>
          <w:szCs w:val="20"/>
        </w:rPr>
        <w:t xml:space="preserve"> (overtone) referring to styrene [2]. The presence of bandwidth in the samples, which are classified as unsaturated double bonds at 1645</w:t>
      </w:r>
      <w:r>
        <w:rPr>
          <w:rFonts w:hint="default" w:ascii="Arial" w:hAnsi="Arial" w:eastAsia="SimSun" w:cs="Arial"/>
          <w:sz w:val="20"/>
          <w:szCs w:val="20"/>
          <w:lang w:val="en-US"/>
        </w:rPr>
        <w:t xml:space="preserve">, </w:t>
      </w:r>
      <w:r>
        <w:rPr>
          <w:rFonts w:hint="default" w:ascii="Arial" w:hAnsi="Arial" w:eastAsia="SimSun" w:cs="Arial"/>
          <w:sz w:val="20"/>
          <w:szCs w:val="20"/>
        </w:rPr>
        <w:t>977 cm</w:t>
      </w:r>
      <w:r>
        <w:rPr>
          <w:rFonts w:hint="default" w:ascii="Arial" w:hAnsi="Arial" w:eastAsia="SimSun" w:cs="Arial"/>
          <w:sz w:val="20"/>
          <w:szCs w:val="20"/>
          <w:vertAlign w:val="superscript"/>
          <w:lang w:val="en-US"/>
        </w:rPr>
        <w:t>-1</w:t>
      </w:r>
      <w:r>
        <w:rPr>
          <w:rFonts w:hint="default" w:ascii="Arial" w:hAnsi="Arial" w:eastAsia="SimSun" w:cs="Arial"/>
          <w:sz w:val="20"/>
          <w:szCs w:val="20"/>
        </w:rPr>
        <w:t xml:space="preserve">, which indicates an unsaturated polyester binder. In addition, the presence of an aromatic ring confirms that the composition of the </w:t>
      </w:r>
      <w:r>
        <w:rPr>
          <w:rFonts w:hint="default" w:ascii="Arial" w:hAnsi="Arial" w:eastAsia="SimSun" w:cs="Arial"/>
          <w:sz w:val="20"/>
          <w:szCs w:val="20"/>
          <w:lang w:val="en-US"/>
        </w:rPr>
        <w:t>U</w:t>
      </w:r>
      <w:r>
        <w:rPr>
          <w:rFonts w:hint="default" w:ascii="Arial" w:hAnsi="Arial" w:eastAsia="SimSun" w:cs="Arial"/>
          <w:sz w:val="20"/>
          <w:szCs w:val="20"/>
        </w:rPr>
        <w:t>PF formulation contains phthalic anhydride (an acid component). This data will help in the formulation of binders in compounds.</w:t>
      </w:r>
    </w:p>
    <w:p w14:paraId="7407826F">
      <w:pPr>
        <w:jc w:val="both"/>
        <w:rPr>
          <w:rFonts w:hint="default" w:ascii="Arial" w:hAnsi="Arial"/>
          <w:sz w:val="20"/>
          <w:szCs w:val="20"/>
          <w:lang w:val="ru-RU"/>
        </w:rPr>
      </w:pPr>
      <w:r>
        <w:rPr>
          <w:rFonts w:hint="default" w:ascii="Arial" w:hAnsi="Arial"/>
          <w:sz w:val="20"/>
          <w:szCs w:val="20"/>
          <w:lang w:val="ru-RU"/>
        </w:rPr>
        <w:t>From the conducted studies, the approximate amount of binder and the composition of the ingredients attached to it were revealed. Further research will focus on the synthesis of the bonding polymer.</w:t>
      </w:r>
    </w:p>
    <w:p w14:paraId="2C7B6A81">
      <w:pPr>
        <w:jc w:val="both"/>
        <w:rPr>
          <w:rFonts w:hint="default" w:ascii="Arial" w:hAnsi="Arial"/>
          <w:sz w:val="20"/>
          <w:szCs w:val="20"/>
          <w:lang w:val="ru-RU"/>
        </w:rPr>
      </w:pPr>
      <w:r>
        <w:rPr>
          <w:rFonts w:hint="default" w:ascii="Arial" w:hAnsi="Arial"/>
          <w:sz w:val="20"/>
          <w:szCs w:val="20"/>
          <w:lang w:val="ru-RU"/>
        </w:rPr>
        <w:t>Based on the analysis of literature data and technological characteristics of unsaturated polyester resins, the basic requirements for their properties were determined. Such as viscosity, heat resistance, gelatinization time, dry residue content, and the ability to cure to form a spatially crosslinked structure.</w:t>
      </w:r>
    </w:p>
    <w:p w14:paraId="7C9EA687">
      <w:pPr>
        <w:jc w:val="both"/>
        <w:rPr>
          <w:rFonts w:hint="default" w:ascii="Arial" w:hAnsi="Arial"/>
          <w:sz w:val="20"/>
          <w:szCs w:val="20"/>
          <w:lang w:val="ru-RU"/>
        </w:rPr>
      </w:pPr>
      <w:r>
        <w:rPr>
          <w:rFonts w:hint="default" w:ascii="Arial" w:hAnsi="Arial"/>
          <w:sz w:val="20"/>
          <w:szCs w:val="20"/>
          <w:lang w:val="ru-RU"/>
        </w:rPr>
        <w:t xml:space="preserve">Based on the data obtained, the following initial components were selected for the synthesis of </w:t>
      </w:r>
      <w:r>
        <w:rPr>
          <w:rFonts w:hint="default" w:ascii="Arial" w:hAnsi="Arial"/>
          <w:sz w:val="20"/>
          <w:szCs w:val="20"/>
          <w:lang w:val="en-US"/>
        </w:rPr>
        <w:t>U</w:t>
      </w:r>
      <w:r>
        <w:rPr>
          <w:rFonts w:hint="default" w:ascii="Arial" w:hAnsi="Arial"/>
          <w:sz w:val="20"/>
          <w:szCs w:val="20"/>
          <w:lang w:val="ru-RU"/>
        </w:rPr>
        <w:t>PF that meets these requirements: ethylene glycol (EG), diethylene glycol (DEG), maleic anhydride (MA) and phthalic anhydride (FA). Ethylene glycol and diethylene glycol are the diol components forming the polyester chain. EG increases rigidity, while DEG increases elasticity and reduces polymer fragility [21]. Maleic anhydride introduces unsaturated double bonds that ensure subsequent curing [21,22], whereas phthalic anhydride increases the heat resistance and strength characteristics of the material.</w:t>
      </w:r>
    </w:p>
    <w:p w14:paraId="3A85DE7D">
      <w:pPr>
        <w:jc w:val="both"/>
        <w:rPr>
          <w:rFonts w:hint="default" w:ascii="Arial" w:hAnsi="Arial"/>
          <w:sz w:val="20"/>
          <w:szCs w:val="20"/>
          <w:lang w:val="ru-RU"/>
        </w:rPr>
      </w:pPr>
      <w:r>
        <w:rPr>
          <w:rFonts w:hint="default" w:ascii="Arial" w:hAnsi="Arial"/>
          <w:sz w:val="20"/>
          <w:szCs w:val="20"/>
          <w:lang w:val="ru-RU"/>
        </w:rPr>
        <w:t>The synthesis of unsaturated polyester was carried out by polycondensation in a flask equipped with a Dean-Stark nozzle and an inert gas supply. Xylene was used as an azeotropic solvent to remove water from the reaction mass. The reaction was carried out at a temperature of 180-210 °C with regulation of the acid number [23,24]. During the synthesis, the acid number was controlled and regulated by titration using 0.1 M KOH solution. Acetone was used as a solvent to take samples and ensure uniformity of the analysis. As the reaction progressed, a gradual decrease in the acid number was observed.</w:t>
      </w:r>
    </w:p>
    <w:p w14:paraId="50593CB9">
      <w:pPr>
        <w:ind w:firstLine="590" w:firstLineChars="295"/>
        <w:jc w:val="both"/>
        <w:rPr>
          <w:rFonts w:hint="default" w:ascii="Arial" w:hAnsi="Arial"/>
          <w:sz w:val="20"/>
          <w:szCs w:val="20"/>
          <w:lang w:val="ru-RU"/>
        </w:rPr>
      </w:pPr>
    </w:p>
    <w:p w14:paraId="59205BDA">
      <w:pPr>
        <w:ind w:firstLine="590" w:firstLineChars="295"/>
        <w:jc w:val="both"/>
        <w:rPr>
          <w:rFonts w:hint="default" w:ascii="Arial" w:hAnsi="Arial"/>
          <w:sz w:val="20"/>
          <w:szCs w:val="20"/>
          <w:lang w:val="ru-RU"/>
        </w:rPr>
      </w:pPr>
    </w:p>
    <w:p w14:paraId="1B2581F5">
      <w:pPr>
        <w:ind w:firstLine="590" w:firstLineChars="295"/>
        <w:jc w:val="both"/>
        <w:rPr>
          <w:rFonts w:hint="default"/>
          <w:lang w:val="ru-RU"/>
        </w:rPr>
      </w:pPr>
      <w:r>
        <w:drawing>
          <wp:inline distT="0" distB="0" distL="114300" distR="114300">
            <wp:extent cx="5111115" cy="2613025"/>
            <wp:effectExtent l="0" t="0" r="698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5"/>
                    <a:srcRect t="684" r="-27"/>
                    <a:stretch>
                      <a:fillRect/>
                    </a:stretch>
                  </pic:blipFill>
                  <pic:spPr>
                    <a:xfrm>
                      <a:off x="0" y="0"/>
                      <a:ext cx="5111115" cy="2613025"/>
                    </a:xfrm>
                    <a:prstGeom prst="rect">
                      <a:avLst/>
                    </a:prstGeom>
                    <a:noFill/>
                    <a:ln>
                      <a:noFill/>
                    </a:ln>
                  </pic:spPr>
                </pic:pic>
              </a:graphicData>
            </a:graphic>
          </wp:inline>
        </w:drawing>
      </w:r>
    </w:p>
    <w:p w14:paraId="44DFEC4F">
      <w:pPr>
        <w:jc w:val="both"/>
        <w:rPr>
          <w:rFonts w:hint="default" w:ascii="Arial" w:hAnsi="Arial" w:cs="Arial"/>
          <w:b/>
          <w:bCs/>
        </w:rPr>
      </w:pPr>
      <w:r>
        <w:rPr>
          <w:rFonts w:hint="default" w:ascii="Arial" w:hAnsi="Arial" w:cs="Arial"/>
          <w:b/>
          <w:bCs/>
        </w:rPr>
        <w:t>Fig.2. Dependence of the acid number of polyester (mgKON/g) on time (h)</w:t>
      </w:r>
    </w:p>
    <w:p w14:paraId="675AD283">
      <w:pPr>
        <w:jc w:val="both"/>
        <w:rPr>
          <w:rFonts w:hint="default" w:ascii="Arial" w:hAnsi="Arial"/>
          <w:b w:val="0"/>
          <w:bCs w:val="0"/>
          <w:sz w:val="20"/>
          <w:szCs w:val="20"/>
          <w:lang w:val="ru-RU"/>
        </w:rPr>
      </w:pPr>
      <w:r>
        <w:rPr>
          <w:rFonts w:hint="default" w:ascii="Arial" w:hAnsi="Arial"/>
          <w:b w:val="0"/>
          <w:bCs w:val="0"/>
          <w:sz w:val="20"/>
          <w:szCs w:val="20"/>
          <w:lang w:val="ru-RU"/>
        </w:rPr>
        <w:t>Figure 2 shows the dependence of the change in the acid number on the synthesis time, which shows a regular decrease in this indicator and allows us to determine the moment when the required resin characteristics are achieved.</w:t>
      </w:r>
      <w:bookmarkStart w:id="0" w:name="_GoBack"/>
      <w:bookmarkEnd w:id="0"/>
    </w:p>
    <w:p w14:paraId="55C50D72">
      <w:pPr>
        <w:jc w:val="both"/>
        <w:rPr>
          <w:rFonts w:hint="default" w:ascii="Arial" w:hAnsi="Arial"/>
          <w:b w:val="0"/>
          <w:bCs w:val="0"/>
          <w:sz w:val="20"/>
          <w:szCs w:val="20"/>
          <w:lang w:val="ru-RU"/>
        </w:rPr>
      </w:pPr>
    </w:p>
    <w:p w14:paraId="733E16A7">
      <w:pPr>
        <w:jc w:val="both"/>
        <w:rPr>
          <w:rFonts w:hint="default" w:ascii="Arial" w:hAnsi="Arial" w:cs="Arial"/>
          <w:b/>
          <w:bCs/>
          <w:sz w:val="20"/>
          <w:szCs w:val="20"/>
          <w:lang w:val="ru-RU"/>
        </w:rPr>
      </w:pPr>
      <w:r>
        <w:rPr>
          <w:rFonts w:hint="default" w:ascii="Arial" w:hAnsi="Arial"/>
          <w:b w:val="0"/>
          <w:bCs w:val="0"/>
          <w:sz w:val="20"/>
          <w:szCs w:val="20"/>
          <w:lang w:val="ru-RU"/>
        </w:rPr>
        <w:t>Table 3</w:t>
      </w:r>
    </w:p>
    <w:p w14:paraId="61AE719D">
      <w:pPr>
        <w:keepNext w:val="0"/>
        <w:keepLines w:val="0"/>
        <w:pageBreakBefore w:val="0"/>
        <w:kinsoku/>
        <w:wordWrap/>
        <w:overflowPunct/>
        <w:topLinePunct w:val="0"/>
        <w:autoSpaceDE/>
        <w:autoSpaceDN/>
        <w:bidi w:val="0"/>
        <w:adjustRightInd/>
        <w:snapToGrid/>
        <w:spacing w:beforeAutospacing="0" w:afterAutospacing="0"/>
        <w:jc w:val="both"/>
        <w:textAlignment w:val="auto"/>
        <w:rPr>
          <w:rFonts w:hint="default" w:ascii="Arial" w:hAnsi="Arial" w:cs="Arial"/>
          <w:b/>
          <w:bCs/>
          <w:sz w:val="20"/>
          <w:szCs w:val="20"/>
          <w:lang w:val="ru-RU"/>
        </w:rPr>
      </w:pPr>
      <w:r>
        <w:rPr>
          <w:rFonts w:hint="default" w:ascii="Arial" w:hAnsi="Arial" w:cs="Arial"/>
          <w:b/>
          <w:bCs/>
          <w:sz w:val="20"/>
          <w:szCs w:val="20"/>
          <w:lang w:val="ru-RU"/>
        </w:rPr>
        <w:t>The main characteristics of synthesized  UPE</w:t>
      </w:r>
    </w:p>
    <w:tbl>
      <w:tblPr>
        <w:tblStyle w:val="12"/>
        <w:tblW w:w="93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2"/>
        <w:gridCol w:w="2069"/>
        <w:gridCol w:w="1806"/>
        <w:gridCol w:w="1342"/>
      </w:tblGrid>
      <w:tr w14:paraId="09A3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2" w:type="dxa"/>
            <w:noWrap w:val="0"/>
            <w:vAlign w:val="top"/>
          </w:tcPr>
          <w:p w14:paraId="281EBD8B">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b/>
                <w:bCs/>
                <w:sz w:val="20"/>
                <w:szCs w:val="20"/>
                <w:lang w:val="ru-RU"/>
              </w:rPr>
            </w:pPr>
            <w:r>
              <w:rPr>
                <w:rFonts w:hint="default" w:ascii="Arial" w:hAnsi="Arial" w:cs="Arial"/>
                <w:b/>
                <w:bCs/>
                <w:sz w:val="20"/>
                <w:szCs w:val="20"/>
                <w:lang w:val="ru-RU"/>
              </w:rPr>
              <w:t>Indicator</w:t>
            </w:r>
          </w:p>
        </w:tc>
        <w:tc>
          <w:tcPr>
            <w:tcW w:w="2069" w:type="dxa"/>
            <w:noWrap w:val="0"/>
            <w:vAlign w:val="top"/>
          </w:tcPr>
          <w:p w14:paraId="0DD5BE14">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b/>
                <w:bCs/>
                <w:sz w:val="20"/>
                <w:szCs w:val="20"/>
                <w:lang w:val="ru-RU"/>
              </w:rPr>
            </w:pPr>
            <w:r>
              <w:rPr>
                <w:rFonts w:hint="default" w:ascii="Arial" w:hAnsi="Arial" w:cs="Arial"/>
                <w:b/>
                <w:bCs/>
                <w:sz w:val="20"/>
                <w:szCs w:val="20"/>
                <w:lang w:val="ru-RU"/>
              </w:rPr>
              <w:t>GOST number</w:t>
            </w:r>
          </w:p>
        </w:tc>
        <w:tc>
          <w:tcPr>
            <w:tcW w:w="1806" w:type="dxa"/>
            <w:noWrap w:val="0"/>
            <w:vAlign w:val="top"/>
          </w:tcPr>
          <w:p w14:paraId="4A6A24AC">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b/>
                <w:bCs/>
                <w:sz w:val="20"/>
                <w:szCs w:val="20"/>
                <w:lang w:val="ru-RU"/>
              </w:rPr>
            </w:pPr>
            <w:r>
              <w:rPr>
                <w:rFonts w:hint="default" w:ascii="Arial" w:hAnsi="Arial" w:cs="Arial"/>
                <w:b/>
                <w:bCs/>
                <w:sz w:val="20"/>
                <w:szCs w:val="20"/>
                <w:lang w:val="ru-RU"/>
              </w:rPr>
              <w:t>Standard</w:t>
            </w:r>
          </w:p>
        </w:tc>
        <w:tc>
          <w:tcPr>
            <w:tcW w:w="1342" w:type="dxa"/>
            <w:noWrap w:val="0"/>
            <w:vAlign w:val="top"/>
          </w:tcPr>
          <w:p w14:paraId="165AC111">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b/>
                <w:bCs/>
                <w:sz w:val="20"/>
                <w:szCs w:val="20"/>
                <w:lang w:val="ru-RU"/>
              </w:rPr>
            </w:pPr>
            <w:r>
              <w:rPr>
                <w:rFonts w:hint="default" w:ascii="Arial" w:hAnsi="Arial" w:cs="Arial"/>
                <w:b/>
                <w:bCs/>
                <w:sz w:val="20"/>
                <w:szCs w:val="20"/>
                <w:lang w:val="ru-RU"/>
              </w:rPr>
              <w:t>Result</w:t>
            </w:r>
          </w:p>
        </w:tc>
      </w:tr>
      <w:tr w14:paraId="122F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2" w:type="dxa"/>
            <w:noWrap w:val="0"/>
            <w:vAlign w:val="top"/>
          </w:tcPr>
          <w:p w14:paraId="49DAAAEB">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Acid number, mgKON/g</w:t>
            </w:r>
          </w:p>
        </w:tc>
        <w:tc>
          <w:tcPr>
            <w:tcW w:w="2069" w:type="dxa"/>
            <w:noWrap w:val="0"/>
            <w:vAlign w:val="top"/>
          </w:tcPr>
          <w:p w14:paraId="0C844E34">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b w:val="0"/>
                <w:bCs w:val="0"/>
                <w:sz w:val="20"/>
                <w:szCs w:val="20"/>
                <w:lang w:val="ru-RU"/>
              </w:rPr>
            </w:pPr>
            <w:r>
              <w:rPr>
                <w:rFonts w:hint="default" w:ascii="Arial" w:hAnsi="Arial" w:cs="Arial"/>
                <w:b w:val="0"/>
                <w:bCs w:val="0"/>
                <w:sz w:val="20"/>
                <w:szCs w:val="20"/>
                <w:lang w:val="ru-RU"/>
              </w:rPr>
              <w:t xml:space="preserve">GOST </w:t>
            </w:r>
            <w:r>
              <w:rPr>
                <w:rFonts w:hint="default" w:ascii="Arial" w:hAnsi="Arial" w:cs="Arial"/>
                <w:b w:val="0"/>
                <w:bCs w:val="0"/>
                <w:color w:val="auto"/>
                <w:sz w:val="20"/>
                <w:szCs w:val="20"/>
                <w:shd w:val="clear" w:color="auto" w:fill="FFFFFF"/>
              </w:rPr>
              <w:t>25210-82</w:t>
            </w:r>
          </w:p>
        </w:tc>
        <w:tc>
          <w:tcPr>
            <w:tcW w:w="1806" w:type="dxa"/>
            <w:noWrap w:val="0"/>
            <w:vAlign w:val="top"/>
          </w:tcPr>
          <w:p w14:paraId="00E15099">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25 - 30</w:t>
            </w:r>
          </w:p>
        </w:tc>
        <w:tc>
          <w:tcPr>
            <w:tcW w:w="1342" w:type="dxa"/>
            <w:noWrap w:val="0"/>
            <w:vAlign w:val="top"/>
          </w:tcPr>
          <w:p w14:paraId="3F3CF835">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color w:val="FF0000"/>
                <w:sz w:val="20"/>
                <w:szCs w:val="20"/>
                <w:lang w:val="ru-RU"/>
              </w:rPr>
            </w:pPr>
            <w:r>
              <w:rPr>
                <w:rFonts w:hint="default" w:ascii="Arial" w:hAnsi="Arial" w:cs="Arial"/>
                <w:sz w:val="20"/>
                <w:szCs w:val="20"/>
                <w:lang w:val="ru-RU"/>
              </w:rPr>
              <w:t>25,5</w:t>
            </w:r>
          </w:p>
        </w:tc>
      </w:tr>
      <w:tr w14:paraId="17F78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2" w:type="dxa"/>
            <w:noWrap w:val="0"/>
            <w:vAlign w:val="top"/>
          </w:tcPr>
          <w:p w14:paraId="659F42C1">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Viscosity, VZ-6, min</w:t>
            </w:r>
          </w:p>
        </w:tc>
        <w:tc>
          <w:tcPr>
            <w:tcW w:w="2069" w:type="dxa"/>
            <w:noWrap w:val="0"/>
            <w:vAlign w:val="top"/>
          </w:tcPr>
          <w:p w14:paraId="0D09FE1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jc w:val="both"/>
              <w:textAlignment w:val="auto"/>
              <w:rPr>
                <w:rFonts w:hint="default" w:ascii="Arial" w:hAnsi="Arial" w:cs="Arial"/>
                <w:b w:val="0"/>
                <w:bCs w:val="0"/>
                <w:sz w:val="20"/>
                <w:szCs w:val="20"/>
                <w:lang w:val="ru-RU"/>
              </w:rPr>
            </w:pPr>
            <w:r>
              <w:rPr>
                <w:rFonts w:hint="default" w:ascii="Arial" w:hAnsi="Arial" w:cs="Arial"/>
                <w:b w:val="0"/>
                <w:bCs w:val="0"/>
                <w:sz w:val="20"/>
                <w:szCs w:val="20"/>
                <w:lang w:val="ru-RU"/>
              </w:rPr>
              <w:t>GOST</w:t>
            </w:r>
            <w:r>
              <w:rPr>
                <w:rFonts w:hint="default" w:ascii="Arial" w:hAnsi="Arial" w:cs="Arial"/>
                <w:b w:val="0"/>
                <w:bCs w:val="0"/>
                <w:sz w:val="20"/>
                <w:szCs w:val="20"/>
              </w:rPr>
              <w:t xml:space="preserve"> 8420-74</w:t>
            </w:r>
          </w:p>
        </w:tc>
        <w:tc>
          <w:tcPr>
            <w:tcW w:w="1806" w:type="dxa"/>
            <w:noWrap w:val="0"/>
            <w:vAlign w:val="top"/>
          </w:tcPr>
          <w:p w14:paraId="45E6DAD2">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en-US"/>
              </w:rPr>
            </w:pPr>
            <w:r>
              <w:rPr>
                <w:rFonts w:hint="default" w:ascii="Arial" w:hAnsi="Arial" w:cs="Arial"/>
                <w:sz w:val="20"/>
                <w:szCs w:val="20"/>
                <w:lang w:val="ru-RU"/>
              </w:rPr>
              <w:t>1</w:t>
            </w:r>
            <w:r>
              <w:rPr>
                <w:rFonts w:hint="default" w:ascii="Arial" w:hAnsi="Arial" w:cs="Arial"/>
                <w:sz w:val="20"/>
                <w:szCs w:val="20"/>
              </w:rPr>
              <w:t>,</w:t>
            </w:r>
            <w:r>
              <w:rPr>
                <w:rFonts w:hint="default" w:ascii="Arial" w:hAnsi="Arial" w:cs="Arial"/>
                <w:sz w:val="20"/>
                <w:szCs w:val="20"/>
                <w:lang w:val="ru-RU"/>
              </w:rPr>
              <w:t>2 - 1</w:t>
            </w:r>
            <w:r>
              <w:rPr>
                <w:rFonts w:hint="default" w:ascii="Arial" w:hAnsi="Arial" w:cs="Arial"/>
                <w:sz w:val="20"/>
                <w:szCs w:val="20"/>
                <w:lang w:val="en-US"/>
              </w:rPr>
              <w:t>,5</w:t>
            </w:r>
          </w:p>
        </w:tc>
        <w:tc>
          <w:tcPr>
            <w:tcW w:w="1342" w:type="dxa"/>
            <w:noWrap w:val="0"/>
            <w:vAlign w:val="top"/>
          </w:tcPr>
          <w:p w14:paraId="2CE0347F">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color w:val="FF0000"/>
                <w:sz w:val="20"/>
                <w:szCs w:val="20"/>
                <w:lang w:val="en-US"/>
              </w:rPr>
            </w:pPr>
            <w:r>
              <w:rPr>
                <w:rFonts w:hint="default" w:ascii="Arial" w:hAnsi="Arial" w:cs="Arial"/>
                <w:color w:val="auto"/>
                <w:sz w:val="20"/>
                <w:szCs w:val="20"/>
                <w:shd w:val="clear" w:color="auto" w:fill="auto"/>
                <w:lang w:val="en-US"/>
              </w:rPr>
              <w:t>1,3</w:t>
            </w:r>
          </w:p>
        </w:tc>
      </w:tr>
      <w:tr w14:paraId="202E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2" w:type="dxa"/>
            <w:noWrap w:val="0"/>
            <w:vAlign w:val="top"/>
          </w:tcPr>
          <w:p w14:paraId="3E001E9C">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Starting temperature, °C</w:t>
            </w:r>
          </w:p>
        </w:tc>
        <w:tc>
          <w:tcPr>
            <w:tcW w:w="2069" w:type="dxa"/>
            <w:noWrap w:val="0"/>
            <w:vAlign w:val="top"/>
          </w:tcPr>
          <w:p w14:paraId="68E20F0E">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jc w:val="both"/>
              <w:textAlignment w:val="auto"/>
              <w:rPr>
                <w:rFonts w:hint="default" w:ascii="Arial" w:hAnsi="Arial" w:cs="Arial"/>
                <w:b w:val="0"/>
                <w:bCs w:val="0"/>
                <w:color w:val="FF0000"/>
                <w:sz w:val="20"/>
                <w:szCs w:val="20"/>
                <w:lang w:val="ru-RU"/>
              </w:rPr>
            </w:pPr>
            <w:r>
              <w:rPr>
                <w:rFonts w:hint="default" w:ascii="Arial" w:hAnsi="Arial" w:cs="Arial"/>
                <w:b w:val="0"/>
                <w:bCs w:val="0"/>
                <w:sz w:val="20"/>
                <w:szCs w:val="20"/>
                <w:lang w:val="ru-RU"/>
              </w:rPr>
              <w:t>GOST</w:t>
            </w:r>
            <w:r>
              <w:rPr>
                <w:rFonts w:hint="default" w:ascii="Arial" w:hAnsi="Arial" w:cs="Arial"/>
                <w:b w:val="0"/>
                <w:bCs w:val="0"/>
                <w:sz w:val="20"/>
                <w:szCs w:val="20"/>
              </w:rPr>
              <w:t xml:space="preserve"> 21970-76</w:t>
            </w:r>
          </w:p>
        </w:tc>
        <w:tc>
          <w:tcPr>
            <w:tcW w:w="1806" w:type="dxa"/>
            <w:noWrap w:val="0"/>
            <w:vAlign w:val="top"/>
          </w:tcPr>
          <w:p w14:paraId="3E3FB891">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en-US"/>
              </w:rPr>
            </w:pPr>
            <w:r>
              <w:rPr>
                <w:rFonts w:hint="default" w:ascii="Arial" w:hAnsi="Arial" w:cs="Arial"/>
                <w:sz w:val="20"/>
                <w:szCs w:val="20"/>
                <w:lang w:val="en-US"/>
              </w:rPr>
              <w:t>20 - 25</w:t>
            </w:r>
          </w:p>
        </w:tc>
        <w:tc>
          <w:tcPr>
            <w:tcW w:w="1342" w:type="dxa"/>
            <w:noWrap w:val="0"/>
            <w:vAlign w:val="top"/>
          </w:tcPr>
          <w:p w14:paraId="6C066E20">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23</w:t>
            </w:r>
          </w:p>
        </w:tc>
      </w:tr>
      <w:tr w14:paraId="431E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2" w:type="dxa"/>
            <w:noWrap w:val="0"/>
            <w:vAlign w:val="top"/>
          </w:tcPr>
          <w:p w14:paraId="7ABC36D6">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Gelation temperature, °C</w:t>
            </w:r>
          </w:p>
        </w:tc>
        <w:tc>
          <w:tcPr>
            <w:tcW w:w="2069" w:type="dxa"/>
            <w:noWrap w:val="0"/>
            <w:vAlign w:val="top"/>
          </w:tcPr>
          <w:p w14:paraId="243EA049">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jc w:val="both"/>
              <w:textAlignment w:val="auto"/>
              <w:rPr>
                <w:rFonts w:hint="default" w:ascii="Arial" w:hAnsi="Arial" w:cs="Arial"/>
                <w:b w:val="0"/>
                <w:bCs w:val="0"/>
                <w:color w:val="FF0000"/>
                <w:sz w:val="20"/>
                <w:szCs w:val="20"/>
                <w:lang w:val="ru-RU"/>
              </w:rPr>
            </w:pPr>
            <w:r>
              <w:rPr>
                <w:rFonts w:hint="default" w:ascii="Arial" w:hAnsi="Arial" w:cs="Arial"/>
                <w:b w:val="0"/>
                <w:bCs w:val="0"/>
                <w:sz w:val="20"/>
                <w:szCs w:val="20"/>
                <w:lang w:val="ru-RU"/>
              </w:rPr>
              <w:t>GOST</w:t>
            </w:r>
            <w:r>
              <w:rPr>
                <w:rFonts w:hint="default" w:ascii="Arial" w:hAnsi="Arial" w:cs="Arial"/>
                <w:b w:val="0"/>
                <w:bCs w:val="0"/>
                <w:sz w:val="20"/>
                <w:szCs w:val="20"/>
              </w:rPr>
              <w:t xml:space="preserve"> 22181-2015</w:t>
            </w:r>
          </w:p>
        </w:tc>
        <w:tc>
          <w:tcPr>
            <w:tcW w:w="1806" w:type="dxa"/>
            <w:noWrap w:val="0"/>
            <w:vAlign w:val="top"/>
          </w:tcPr>
          <w:p w14:paraId="6EBC4A22">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30 - 40</w:t>
            </w:r>
          </w:p>
        </w:tc>
        <w:tc>
          <w:tcPr>
            <w:tcW w:w="1342" w:type="dxa"/>
            <w:noWrap w:val="0"/>
            <w:vAlign w:val="top"/>
          </w:tcPr>
          <w:p w14:paraId="47A5845F">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33</w:t>
            </w:r>
            <w:r>
              <w:rPr>
                <w:rFonts w:hint="default" w:ascii="Arial" w:hAnsi="Arial" w:cs="Arial"/>
                <w:sz w:val="20"/>
                <w:szCs w:val="20"/>
              </w:rPr>
              <w:t>,4</w:t>
            </w:r>
          </w:p>
        </w:tc>
      </w:tr>
      <w:tr w14:paraId="6D4DB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2" w:type="dxa"/>
            <w:noWrap w:val="0"/>
            <w:vAlign w:val="top"/>
          </w:tcPr>
          <w:p w14:paraId="41426278">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 xml:space="preserve">Exothermic temperature, </w:t>
            </w:r>
            <w:r>
              <w:rPr>
                <w:rFonts w:hint="default" w:ascii="Arial" w:hAnsi="Arial" w:cs="Arial"/>
                <w:sz w:val="20"/>
                <w:szCs w:val="20"/>
                <w:vertAlign w:val="superscript"/>
                <w:lang w:val="ru-RU"/>
              </w:rPr>
              <w:t>о</w:t>
            </w:r>
            <w:r>
              <w:rPr>
                <w:rFonts w:hint="default" w:ascii="Arial" w:hAnsi="Arial" w:cs="Arial"/>
                <w:sz w:val="20"/>
                <w:szCs w:val="20"/>
                <w:lang w:val="ru-RU"/>
              </w:rPr>
              <w:t>С</w:t>
            </w:r>
          </w:p>
        </w:tc>
        <w:tc>
          <w:tcPr>
            <w:tcW w:w="2069" w:type="dxa"/>
            <w:noWrap w:val="0"/>
            <w:vAlign w:val="top"/>
          </w:tcPr>
          <w:p w14:paraId="63A81FB1">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jc w:val="both"/>
              <w:textAlignment w:val="auto"/>
              <w:rPr>
                <w:rFonts w:hint="default" w:ascii="Arial" w:hAnsi="Arial" w:cs="Arial"/>
                <w:b w:val="0"/>
                <w:bCs w:val="0"/>
                <w:color w:val="FF0000"/>
                <w:sz w:val="20"/>
                <w:szCs w:val="20"/>
                <w:lang w:val="ru-RU"/>
              </w:rPr>
            </w:pPr>
            <w:r>
              <w:rPr>
                <w:rFonts w:hint="default" w:ascii="Arial" w:hAnsi="Arial" w:cs="Arial"/>
                <w:b w:val="0"/>
                <w:bCs w:val="0"/>
                <w:sz w:val="20"/>
                <w:szCs w:val="20"/>
                <w:lang w:val="ru-RU"/>
              </w:rPr>
              <w:t>GOST</w:t>
            </w:r>
            <w:r>
              <w:rPr>
                <w:rFonts w:hint="default" w:ascii="Arial" w:hAnsi="Arial" w:cs="Arial"/>
                <w:b w:val="0"/>
                <w:bCs w:val="0"/>
                <w:sz w:val="20"/>
                <w:szCs w:val="20"/>
                <w:lang w:val="en-US"/>
              </w:rPr>
              <w:t xml:space="preserve"> </w:t>
            </w:r>
            <w:r>
              <w:rPr>
                <w:rFonts w:hint="default" w:ascii="Arial" w:hAnsi="Arial" w:cs="Arial"/>
                <w:b w:val="0"/>
                <w:bCs w:val="0"/>
                <w:sz w:val="20"/>
                <w:szCs w:val="20"/>
              </w:rPr>
              <w:t>21970-76</w:t>
            </w:r>
          </w:p>
        </w:tc>
        <w:tc>
          <w:tcPr>
            <w:tcW w:w="1806" w:type="dxa"/>
            <w:noWrap w:val="0"/>
            <w:vAlign w:val="top"/>
          </w:tcPr>
          <w:p w14:paraId="5FD5AC43">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From 65 and above</w:t>
            </w:r>
          </w:p>
        </w:tc>
        <w:tc>
          <w:tcPr>
            <w:tcW w:w="1342" w:type="dxa"/>
            <w:noWrap w:val="0"/>
            <w:vAlign w:val="top"/>
          </w:tcPr>
          <w:p w14:paraId="45B3F904">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87</w:t>
            </w:r>
          </w:p>
        </w:tc>
      </w:tr>
      <w:tr w14:paraId="0BCA3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2" w:type="dxa"/>
            <w:noWrap w:val="0"/>
            <w:vAlign w:val="top"/>
          </w:tcPr>
          <w:p w14:paraId="6BF75D10">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Reaction time, min</w:t>
            </w:r>
          </w:p>
        </w:tc>
        <w:tc>
          <w:tcPr>
            <w:tcW w:w="2069" w:type="dxa"/>
            <w:noWrap w:val="0"/>
            <w:vAlign w:val="top"/>
          </w:tcPr>
          <w:p w14:paraId="734D980A">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jc w:val="both"/>
              <w:textAlignment w:val="auto"/>
              <w:rPr>
                <w:rFonts w:hint="default" w:ascii="Arial" w:hAnsi="Arial" w:cs="Arial"/>
                <w:b w:val="0"/>
                <w:bCs w:val="0"/>
                <w:color w:val="FF0000"/>
                <w:sz w:val="20"/>
                <w:szCs w:val="20"/>
                <w:lang w:val="ru-RU"/>
              </w:rPr>
            </w:pPr>
            <w:r>
              <w:rPr>
                <w:rFonts w:hint="default" w:ascii="Arial" w:hAnsi="Arial" w:cs="Arial"/>
                <w:b w:val="0"/>
                <w:bCs w:val="0"/>
                <w:sz w:val="20"/>
                <w:szCs w:val="20"/>
                <w:lang w:val="ru-RU"/>
              </w:rPr>
              <w:t>GOST</w:t>
            </w:r>
            <w:r>
              <w:rPr>
                <w:rFonts w:hint="default" w:ascii="Arial" w:hAnsi="Arial" w:cs="Arial"/>
                <w:b w:val="0"/>
                <w:bCs w:val="0"/>
                <w:sz w:val="20"/>
                <w:szCs w:val="20"/>
                <w:lang w:val="en-US"/>
              </w:rPr>
              <w:t xml:space="preserve"> </w:t>
            </w:r>
            <w:r>
              <w:rPr>
                <w:rFonts w:hint="default" w:ascii="Arial" w:hAnsi="Arial" w:cs="Arial"/>
                <w:b w:val="0"/>
                <w:bCs w:val="0"/>
                <w:sz w:val="20"/>
                <w:szCs w:val="20"/>
              </w:rPr>
              <w:t>21970-76</w:t>
            </w:r>
          </w:p>
        </w:tc>
        <w:tc>
          <w:tcPr>
            <w:tcW w:w="1806" w:type="dxa"/>
            <w:noWrap w:val="0"/>
            <w:vAlign w:val="top"/>
          </w:tcPr>
          <w:p w14:paraId="4F74E130">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15 - 20</w:t>
            </w:r>
          </w:p>
        </w:tc>
        <w:tc>
          <w:tcPr>
            <w:tcW w:w="1342" w:type="dxa"/>
            <w:noWrap w:val="0"/>
            <w:vAlign w:val="top"/>
          </w:tcPr>
          <w:p w14:paraId="71FE8DF0">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17</w:t>
            </w:r>
          </w:p>
        </w:tc>
      </w:tr>
      <w:tr w14:paraId="23EEE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2" w:type="dxa"/>
            <w:noWrap w:val="0"/>
            <w:vAlign w:val="top"/>
          </w:tcPr>
          <w:p w14:paraId="64D9E99B">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Dry residue, %</w:t>
            </w:r>
          </w:p>
        </w:tc>
        <w:tc>
          <w:tcPr>
            <w:tcW w:w="2069" w:type="dxa"/>
            <w:noWrap w:val="0"/>
            <w:vAlign w:val="top"/>
          </w:tcPr>
          <w:p w14:paraId="31988E9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jc w:val="both"/>
              <w:textAlignment w:val="auto"/>
              <w:rPr>
                <w:rFonts w:hint="default" w:ascii="Arial" w:hAnsi="Arial" w:cs="Arial"/>
                <w:b w:val="0"/>
                <w:bCs w:val="0"/>
                <w:sz w:val="20"/>
                <w:szCs w:val="20"/>
                <w:lang w:val="ru-RU"/>
              </w:rPr>
            </w:pPr>
            <w:r>
              <w:rPr>
                <w:rFonts w:hint="default" w:ascii="Arial" w:hAnsi="Arial" w:cs="Arial"/>
                <w:b w:val="0"/>
                <w:bCs w:val="0"/>
                <w:sz w:val="20"/>
                <w:szCs w:val="20"/>
                <w:lang w:val="ru-RU"/>
              </w:rPr>
              <w:t>GOST</w:t>
            </w:r>
            <w:r>
              <w:rPr>
                <w:rFonts w:hint="default" w:ascii="Arial" w:hAnsi="Arial" w:cs="Arial"/>
                <w:b w:val="0"/>
                <w:bCs w:val="0"/>
                <w:sz w:val="20"/>
                <w:szCs w:val="20"/>
              </w:rPr>
              <w:t xml:space="preserve"> 31939-2022</w:t>
            </w:r>
          </w:p>
        </w:tc>
        <w:tc>
          <w:tcPr>
            <w:tcW w:w="1806" w:type="dxa"/>
            <w:noWrap w:val="0"/>
            <w:vAlign w:val="top"/>
          </w:tcPr>
          <w:p w14:paraId="5A5344AA">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60 - 70</w:t>
            </w:r>
          </w:p>
        </w:tc>
        <w:tc>
          <w:tcPr>
            <w:tcW w:w="1342" w:type="dxa"/>
            <w:noWrap w:val="0"/>
            <w:vAlign w:val="top"/>
          </w:tcPr>
          <w:p w14:paraId="504AB4A2">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hint="default" w:ascii="Arial" w:hAnsi="Arial" w:cs="Arial"/>
                <w:sz w:val="20"/>
                <w:szCs w:val="20"/>
                <w:lang w:val="ru-RU"/>
              </w:rPr>
            </w:pPr>
            <w:r>
              <w:rPr>
                <w:rFonts w:hint="default" w:ascii="Arial" w:hAnsi="Arial" w:cs="Arial"/>
                <w:sz w:val="20"/>
                <w:szCs w:val="20"/>
                <w:lang w:val="ru-RU"/>
              </w:rPr>
              <w:t>60</w:t>
            </w:r>
          </w:p>
        </w:tc>
      </w:tr>
    </w:tbl>
    <w:p w14:paraId="715F36F8">
      <w:pPr>
        <w:ind w:firstLine="590" w:firstLineChars="295"/>
        <w:jc w:val="both"/>
        <w:rPr>
          <w:rFonts w:hint="default" w:ascii="Arial" w:hAnsi="Arial" w:cs="Arial"/>
          <w:sz w:val="20"/>
          <w:szCs w:val="20"/>
          <w:lang w:val="ru-RU"/>
        </w:rPr>
      </w:pPr>
      <w:r>
        <w:rPr>
          <w:rFonts w:hint="default" w:ascii="Arial" w:hAnsi="Arial" w:cs="Arial"/>
          <w:sz w:val="20"/>
          <w:szCs w:val="20"/>
          <w:lang w:val="ru-RU"/>
        </w:rPr>
        <w:t xml:space="preserve">   </w:t>
      </w:r>
    </w:p>
    <w:p w14:paraId="7540A5CB">
      <w:pPr>
        <w:jc w:val="both"/>
        <w:rPr>
          <w:rFonts w:hint="default" w:ascii="Arial" w:hAnsi="Arial"/>
          <w:b w:val="0"/>
          <w:bCs w:val="0"/>
          <w:sz w:val="20"/>
          <w:szCs w:val="20"/>
          <w:lang w:val="ru-RU"/>
        </w:rPr>
      </w:pPr>
      <w:r>
        <w:rPr>
          <w:rFonts w:hint="default" w:ascii="Arial" w:hAnsi="Arial"/>
          <w:b w:val="0"/>
          <w:bCs w:val="0"/>
          <w:sz w:val="20"/>
          <w:szCs w:val="20"/>
          <w:lang w:val="ru-RU"/>
        </w:rPr>
        <w:t xml:space="preserve">The indicators from Table 3 show that all the basic physico-chemical and technological characteristics of the synthesized </w:t>
      </w:r>
      <w:r>
        <w:rPr>
          <w:rFonts w:hint="default" w:ascii="Arial" w:hAnsi="Arial"/>
          <w:sz w:val="20"/>
          <w:szCs w:val="20"/>
          <w:lang w:val="en-US"/>
        </w:rPr>
        <w:t>U</w:t>
      </w:r>
      <w:r>
        <w:rPr>
          <w:rFonts w:hint="default" w:ascii="Arial" w:hAnsi="Arial"/>
          <w:sz w:val="20"/>
          <w:szCs w:val="20"/>
          <w:lang w:val="ru-RU"/>
        </w:rPr>
        <w:t>PF</w:t>
      </w:r>
      <w:r>
        <w:rPr>
          <w:rFonts w:hint="default" w:ascii="Arial" w:hAnsi="Arial"/>
          <w:b w:val="0"/>
          <w:bCs w:val="0"/>
          <w:sz w:val="20"/>
          <w:szCs w:val="20"/>
          <w:lang w:val="ru-RU"/>
        </w:rPr>
        <w:t xml:space="preserve"> are within the limits of standard values. The resin has an optimal viscosity, an acceptable acid number and stable curing parameters, which indicates compliance with the specified requirements.</w:t>
      </w:r>
    </w:p>
    <w:p w14:paraId="628A428E">
      <w:pPr>
        <w:ind w:firstLine="590" w:firstLineChars="295"/>
        <w:jc w:val="both"/>
        <w:rPr>
          <w:rFonts w:hint="default" w:ascii="Arial" w:hAnsi="Arial"/>
          <w:b w:val="0"/>
          <w:bCs w:val="0"/>
          <w:sz w:val="20"/>
          <w:szCs w:val="20"/>
          <w:lang w:val="ru-RU"/>
        </w:rPr>
      </w:pPr>
    </w:p>
    <w:p w14:paraId="40237BCA">
      <w:pPr>
        <w:jc w:val="both"/>
        <w:rPr>
          <w:rFonts w:hint="default" w:ascii="Arial" w:hAnsi="Arial"/>
          <w:b/>
          <w:bCs/>
          <w:sz w:val="20"/>
          <w:szCs w:val="20"/>
          <w:lang w:val="ru-RU"/>
        </w:rPr>
      </w:pPr>
      <w:r>
        <w:rPr>
          <w:rFonts w:hint="default" w:ascii="Arial" w:hAnsi="Arial"/>
          <w:b/>
          <w:bCs/>
          <w:sz w:val="20"/>
          <w:szCs w:val="20"/>
          <w:lang w:val="ru-RU"/>
        </w:rPr>
        <w:t>Conclusion</w:t>
      </w:r>
    </w:p>
    <w:p w14:paraId="70B676D7">
      <w:pPr>
        <w:jc w:val="both"/>
        <w:rPr>
          <w:rFonts w:hint="default" w:ascii="Arial" w:hAnsi="Arial"/>
          <w:b w:val="0"/>
          <w:bCs w:val="0"/>
          <w:sz w:val="20"/>
          <w:szCs w:val="20"/>
          <w:lang w:val="ru-RU"/>
        </w:rPr>
      </w:pPr>
      <w:r>
        <w:rPr>
          <w:rFonts w:hint="default" w:ascii="Arial" w:hAnsi="Arial"/>
          <w:b w:val="0"/>
          <w:bCs w:val="0"/>
          <w:sz w:val="20"/>
          <w:szCs w:val="20"/>
          <w:lang w:val="ru-RU"/>
        </w:rPr>
        <w:t>The analysis of the composition and properties of the Menzolit BMC 3102 industrial composite material used in the manufacture of car headlight reflectors was carried out. The quantitative ratio of the main components was experimentally established: fiberglass, mineral filler and binder, which made it possible to determine the structure of the material and the features of its formation. Additionally, it is confirmed that this composite has high temperature resistance and stability of properties necessary for operation at elevated temperatures.</w:t>
      </w:r>
    </w:p>
    <w:p w14:paraId="36BC8E5D">
      <w:pPr>
        <w:jc w:val="both"/>
        <w:rPr>
          <w:rFonts w:hint="default" w:ascii="Arial" w:hAnsi="Arial"/>
          <w:b w:val="0"/>
          <w:bCs w:val="0"/>
          <w:sz w:val="20"/>
          <w:szCs w:val="20"/>
          <w:lang w:val="ru-RU"/>
        </w:rPr>
      </w:pPr>
      <w:r>
        <w:rPr>
          <w:rFonts w:hint="default" w:ascii="Arial" w:hAnsi="Arial"/>
          <w:b w:val="0"/>
          <w:bCs w:val="0"/>
          <w:sz w:val="20"/>
          <w:szCs w:val="20"/>
          <w:lang w:val="ru-RU"/>
        </w:rPr>
        <w:t>Based on the data obtained, the synthesis of unsaturated polyester resin by polycondensation using ethylene glycol, diethylene glycol, maleic and phthalic anhydrides was performed. During the synthesis, the acid number was monitored, which made it possible to regulate the degree of reaction and obtain a product with specified characteristics. The results of the analysis showed that the physico-chemical and technological properties of the synthesized resin comply with regulatory requirements.</w:t>
      </w:r>
    </w:p>
    <w:p w14:paraId="7EBA88B8">
      <w:pPr>
        <w:jc w:val="both"/>
        <w:rPr>
          <w:rFonts w:hint="default" w:ascii="Arial" w:hAnsi="Arial"/>
          <w:sz w:val="20"/>
          <w:szCs w:val="20"/>
          <w:lang w:val="ru-RU"/>
        </w:rPr>
      </w:pPr>
      <w:r>
        <w:rPr>
          <w:rFonts w:hint="default" w:ascii="Arial" w:hAnsi="Arial"/>
          <w:sz w:val="20"/>
          <w:szCs w:val="20"/>
          <w:lang w:val="ru-RU"/>
        </w:rPr>
        <w:t>The conducted studies have confirmed the possibility of obtaining unsaturated polyester resin with the necessary properties for use as a binding component in composite materials of the BMC type. The results obtained can be used in the development of domestic analogues of composites for the automotive industry and contribute to reducing dependence on imported materials.</w:t>
      </w:r>
    </w:p>
    <w:p w14:paraId="09D4B498">
      <w:pPr>
        <w:ind w:firstLine="590" w:firstLineChars="295"/>
        <w:jc w:val="both"/>
        <w:rPr>
          <w:rFonts w:hint="default" w:ascii="Arial" w:hAnsi="Arial"/>
          <w:sz w:val="20"/>
          <w:szCs w:val="20"/>
          <w:lang w:val="ru-RU"/>
        </w:rPr>
      </w:pPr>
    </w:p>
    <w:p w14:paraId="7776EF60">
      <w:pPr>
        <w:ind w:firstLine="402" w:firstLineChars="200"/>
        <w:jc w:val="both"/>
        <w:rPr>
          <w:rFonts w:hint="default" w:ascii="Arial" w:hAnsi="Arial"/>
          <w:b/>
          <w:bCs/>
          <w:sz w:val="20"/>
          <w:szCs w:val="20"/>
          <w:lang w:val="ru-RU"/>
        </w:rPr>
      </w:pPr>
      <w:r>
        <w:rPr>
          <w:rFonts w:hint="default" w:ascii="Arial" w:hAnsi="Arial"/>
          <w:b/>
          <w:bCs/>
          <w:sz w:val="20"/>
          <w:szCs w:val="20"/>
          <w:lang w:val="en-US"/>
        </w:rPr>
        <w:t>R</w:t>
      </w:r>
      <w:r>
        <w:rPr>
          <w:rFonts w:hint="default" w:ascii="Arial" w:hAnsi="Arial"/>
          <w:b/>
          <w:bCs/>
          <w:sz w:val="20"/>
          <w:szCs w:val="20"/>
          <w:lang w:val="ru-RU"/>
        </w:rPr>
        <w:t>eferences to literature</w:t>
      </w:r>
    </w:p>
    <w:p w14:paraId="7C338E4E">
      <w:pPr>
        <w:ind w:firstLine="402" w:firstLineChars="200"/>
        <w:jc w:val="both"/>
        <w:rPr>
          <w:rFonts w:hint="default" w:ascii="Arial" w:hAnsi="Arial"/>
          <w:b/>
          <w:bCs/>
          <w:sz w:val="20"/>
          <w:szCs w:val="20"/>
          <w:lang w:val="ru-RU"/>
        </w:rPr>
      </w:pPr>
    </w:p>
    <w:p w14:paraId="518E78C2">
      <w:pPr>
        <w:pStyle w:val="31"/>
        <w:numPr>
          <w:ilvl w:val="0"/>
          <w:numId w:val="3"/>
        </w:numPr>
        <w:jc w:val="both"/>
        <w:rPr>
          <w:rFonts w:hint="default" w:ascii="Arial" w:hAnsi="Arial" w:cs="Arial"/>
          <w:sz w:val="20"/>
          <w:szCs w:val="20"/>
        </w:rPr>
      </w:pPr>
      <w:r>
        <w:rPr>
          <w:rFonts w:hint="default" w:ascii="Arial" w:hAnsi="Arial" w:cs="Arial"/>
          <w:sz w:val="20"/>
          <w:szCs w:val="20"/>
        </w:rPr>
        <w:t>Robinson A.L., Taub A.I., Keoleian G.A. Fuel efficiency drives the auto industry to reduce vehicle weight // MRS Bulletin. — 2019. — Vol. 44. — P. 920–923. — DOI: 10.1557/mrs.2019.298.</w:t>
      </w:r>
    </w:p>
    <w:p w14:paraId="40A752AF">
      <w:pPr>
        <w:pStyle w:val="31"/>
        <w:numPr>
          <w:ilvl w:val="0"/>
          <w:numId w:val="3"/>
        </w:numPr>
        <w:jc w:val="both"/>
        <w:rPr>
          <w:rFonts w:hint="default" w:ascii="Arial" w:hAnsi="Arial" w:cs="Arial"/>
          <w:sz w:val="20"/>
          <w:szCs w:val="20"/>
        </w:rPr>
      </w:pPr>
      <w:r>
        <w:rPr>
          <w:rFonts w:hint="default" w:ascii="Arial" w:hAnsi="Arial" w:cs="Arial"/>
          <w:sz w:val="20"/>
          <w:szCs w:val="20"/>
        </w:rPr>
        <w:t>Das S. The cost of automotive polymer composites: a review. — Oak Ridge: Oak Ridge National Laboratory, 2001. — ORNL/TM-2000/283. — 40 p.</w:t>
      </w:r>
    </w:p>
    <w:p w14:paraId="5CB16767">
      <w:pPr>
        <w:pStyle w:val="31"/>
        <w:numPr>
          <w:ilvl w:val="0"/>
          <w:numId w:val="3"/>
        </w:numPr>
        <w:jc w:val="both"/>
        <w:rPr>
          <w:rFonts w:hint="default" w:ascii="Arial" w:hAnsi="Arial" w:cs="Arial"/>
          <w:sz w:val="20"/>
          <w:szCs w:val="20"/>
        </w:rPr>
      </w:pPr>
      <w:r>
        <w:rPr>
          <w:rFonts w:hint="default" w:ascii="Arial" w:hAnsi="Arial" w:cs="Arial"/>
          <w:sz w:val="20"/>
          <w:szCs w:val="20"/>
        </w:rPr>
        <w:t>Li W. Reflector coatings in automobile lighting: their performance requirements, substrates, materials and processing // Society of Vacuum Coaters. Technical Proceedings. — 2001. — P. 85–94.</w:t>
      </w:r>
    </w:p>
    <w:p w14:paraId="332F422F">
      <w:pPr>
        <w:pStyle w:val="31"/>
        <w:numPr>
          <w:ilvl w:val="0"/>
          <w:numId w:val="3"/>
        </w:numPr>
        <w:jc w:val="both"/>
        <w:rPr>
          <w:rFonts w:hint="default" w:ascii="Arial" w:hAnsi="Arial" w:cs="Arial"/>
          <w:sz w:val="20"/>
          <w:szCs w:val="20"/>
        </w:rPr>
      </w:pPr>
      <w:r>
        <w:rPr>
          <w:rFonts w:hint="default" w:ascii="Arial" w:hAnsi="Arial" w:cs="Arial"/>
          <w:sz w:val="20"/>
          <w:szCs w:val="20"/>
        </w:rPr>
        <w:t>BÜFA Composite Systems. Unsaturated polyester resins. — Oldenburg: BÜFA, 2018. — 120 p.</w:t>
      </w:r>
    </w:p>
    <w:p w14:paraId="34634BE4">
      <w:pPr>
        <w:pStyle w:val="31"/>
        <w:numPr>
          <w:ilvl w:val="0"/>
          <w:numId w:val="3"/>
        </w:numPr>
        <w:jc w:val="both"/>
        <w:rPr>
          <w:rFonts w:hint="default" w:ascii="Arial" w:hAnsi="Arial" w:cs="Arial"/>
          <w:sz w:val="20"/>
          <w:szCs w:val="20"/>
        </w:rPr>
      </w:pPr>
      <w:r>
        <w:rPr>
          <w:rFonts w:hint="default" w:ascii="Arial" w:hAnsi="Arial" w:cs="Arial"/>
          <w:sz w:val="20"/>
          <w:szCs w:val="20"/>
        </w:rPr>
        <w:t>Unsaturated polyester resins // Reactive polymers: fundamentals and applications. — Oxford: Elsevier, 2013. — P. 123–156.</w:t>
      </w:r>
    </w:p>
    <w:p w14:paraId="693700E4">
      <w:pPr>
        <w:pStyle w:val="31"/>
        <w:numPr>
          <w:ilvl w:val="0"/>
          <w:numId w:val="3"/>
        </w:numPr>
        <w:jc w:val="both"/>
        <w:rPr>
          <w:rFonts w:hint="default" w:ascii="Arial" w:hAnsi="Arial" w:cs="Arial"/>
          <w:sz w:val="20"/>
          <w:szCs w:val="20"/>
        </w:rPr>
      </w:pPr>
      <w:r>
        <w:rPr>
          <w:rFonts w:hint="default" w:ascii="Arial" w:hAnsi="Arial" w:cs="Arial"/>
          <w:sz w:val="20"/>
          <w:szCs w:val="20"/>
        </w:rPr>
        <w:t>Thomas S., Hosur M., Chirayil C.J. Unsaturated polyester resins: fundamentals, design, fabrication, and applications. — Amsterdam: Elsevier, 2019. — 350 p.</w:t>
      </w:r>
    </w:p>
    <w:p w14:paraId="48C3B8D2">
      <w:pPr>
        <w:pStyle w:val="31"/>
        <w:numPr>
          <w:ilvl w:val="0"/>
          <w:numId w:val="3"/>
        </w:numPr>
        <w:jc w:val="both"/>
        <w:rPr>
          <w:rFonts w:hint="default" w:ascii="Arial" w:hAnsi="Arial" w:cs="Arial"/>
          <w:sz w:val="20"/>
          <w:szCs w:val="20"/>
        </w:rPr>
      </w:pPr>
      <w:r>
        <w:rPr>
          <w:rFonts w:hint="default" w:ascii="Arial" w:hAnsi="Arial" w:cs="Arial"/>
          <w:sz w:val="20"/>
          <w:szCs w:val="20"/>
        </w:rPr>
        <w:t>SMC BMC Market Size and Forecast // The Insight Partners [</w:t>
      </w:r>
      <w:r>
        <w:rPr>
          <w:rFonts w:hint="default" w:ascii="Arial" w:hAnsi="Arial"/>
          <w:sz w:val="20"/>
          <w:szCs w:val="20"/>
        </w:rPr>
        <w:t>Electronic resource</w:t>
      </w:r>
      <w:r>
        <w:rPr>
          <w:rFonts w:hint="default" w:ascii="Arial" w:hAnsi="Arial" w:cs="Arial"/>
          <w:sz w:val="20"/>
          <w:szCs w:val="20"/>
        </w:rPr>
        <w:t xml:space="preserve">]. — 2020. — </w:t>
      </w:r>
      <w:r>
        <w:rPr>
          <w:rFonts w:hint="default" w:ascii="Arial" w:hAnsi="Arial"/>
          <w:sz w:val="20"/>
          <w:szCs w:val="20"/>
        </w:rPr>
        <w:t>Access mode</w:t>
      </w:r>
      <w:r>
        <w:rPr>
          <w:rFonts w:hint="default" w:ascii="Arial" w:hAnsi="Arial" w:cs="Arial"/>
          <w:sz w:val="20"/>
          <w:szCs w:val="20"/>
        </w:rPr>
        <w:t xml:space="preserve">: </w:t>
      </w:r>
      <w:r>
        <w:rPr>
          <w:rFonts w:hint="default" w:ascii="Arial" w:hAnsi="Arial" w:cs="Arial"/>
          <w:color w:val="000000" w:themeColor="text1"/>
          <w:sz w:val="20"/>
          <w:szCs w:val="20"/>
          <w14:textFill>
            <w14:solidFill>
              <w14:schemeClr w14:val="tx1"/>
            </w14:solidFill>
          </w14:textFill>
        </w:rPr>
        <w:fldChar w:fldCharType="begin"/>
      </w:r>
      <w:r>
        <w:rPr>
          <w:rFonts w:hint="default" w:ascii="Arial" w:hAnsi="Arial" w:cs="Arial"/>
          <w:color w:val="000000" w:themeColor="text1"/>
          <w:sz w:val="20"/>
          <w:szCs w:val="20"/>
          <w14:textFill>
            <w14:solidFill>
              <w14:schemeClr w14:val="tx1"/>
            </w14:solidFill>
          </w14:textFill>
        </w:rPr>
        <w:instrText xml:space="preserve"> HYPERLINK "https://www.theinsightpartners.com" </w:instrText>
      </w:r>
      <w:r>
        <w:rPr>
          <w:rFonts w:hint="default" w:ascii="Arial" w:hAnsi="Arial" w:cs="Arial"/>
          <w:color w:val="000000" w:themeColor="text1"/>
          <w:sz w:val="20"/>
          <w:szCs w:val="20"/>
          <w14:textFill>
            <w14:solidFill>
              <w14:schemeClr w14:val="tx1"/>
            </w14:solidFill>
          </w14:textFill>
        </w:rPr>
        <w:fldChar w:fldCharType="separate"/>
      </w:r>
      <w:r>
        <w:rPr>
          <w:rStyle w:val="13"/>
          <w:rFonts w:hint="default" w:ascii="Arial" w:hAnsi="Arial" w:cs="Arial"/>
          <w:color w:val="000000" w:themeColor="text1"/>
          <w:sz w:val="20"/>
          <w:szCs w:val="20"/>
          <w14:textFill>
            <w14:solidFill>
              <w14:schemeClr w14:val="tx1"/>
            </w14:solidFill>
          </w14:textFill>
        </w:rPr>
        <w:t>https://www.theinsightpartners.com</w:t>
      </w:r>
      <w:r>
        <w:rPr>
          <w:rFonts w:hint="default" w:ascii="Arial" w:hAnsi="Arial" w:cs="Arial"/>
          <w:color w:val="000000" w:themeColor="text1"/>
          <w:sz w:val="20"/>
          <w:szCs w:val="20"/>
          <w14:textFill>
            <w14:solidFill>
              <w14:schemeClr w14:val="tx1"/>
            </w14:solidFill>
          </w14:textFill>
        </w:rPr>
        <w:fldChar w:fldCharType="end"/>
      </w:r>
    </w:p>
    <w:p w14:paraId="5DA24080">
      <w:pPr>
        <w:pStyle w:val="31"/>
        <w:numPr>
          <w:ilvl w:val="0"/>
          <w:numId w:val="3"/>
        </w:numPr>
        <w:jc w:val="both"/>
        <w:rPr>
          <w:rFonts w:hint="default" w:ascii="Arial" w:hAnsi="Arial" w:cs="Arial"/>
          <w:sz w:val="20"/>
          <w:szCs w:val="20"/>
        </w:rPr>
      </w:pPr>
      <w:r>
        <w:rPr>
          <w:rFonts w:hint="default" w:ascii="Arial" w:hAnsi="Arial" w:cs="Arial"/>
          <w:sz w:val="20"/>
          <w:szCs w:val="20"/>
        </w:rPr>
        <w:t>Sheet &amp; Bulk Molding Compound Market Report // Grand View Research [</w:t>
      </w:r>
      <w:r>
        <w:rPr>
          <w:rFonts w:hint="default" w:ascii="Arial" w:hAnsi="Arial"/>
          <w:sz w:val="20"/>
          <w:szCs w:val="20"/>
        </w:rPr>
        <w:t>Electronic resource</w:t>
      </w:r>
      <w:r>
        <w:rPr>
          <w:rFonts w:hint="default" w:ascii="Arial" w:hAnsi="Arial" w:cs="Arial"/>
          <w:sz w:val="20"/>
          <w:szCs w:val="20"/>
        </w:rPr>
        <w:t xml:space="preserve">]. — 2023. — </w:t>
      </w:r>
      <w:r>
        <w:rPr>
          <w:rFonts w:hint="default" w:ascii="Arial" w:hAnsi="Arial"/>
          <w:sz w:val="20"/>
          <w:szCs w:val="20"/>
        </w:rPr>
        <w:t>Access mode</w:t>
      </w:r>
      <w:r>
        <w:rPr>
          <w:rFonts w:hint="default" w:ascii="Arial" w:hAnsi="Arial" w:cs="Arial"/>
          <w:sz w:val="20"/>
          <w:szCs w:val="20"/>
        </w:rPr>
        <w:t>: https://www.grandviewresearch.com</w:t>
      </w:r>
    </w:p>
    <w:p w14:paraId="583CA67B">
      <w:pPr>
        <w:pStyle w:val="31"/>
        <w:numPr>
          <w:ilvl w:val="0"/>
          <w:numId w:val="3"/>
        </w:numPr>
        <w:jc w:val="both"/>
        <w:rPr>
          <w:rFonts w:hint="default" w:ascii="Arial" w:hAnsi="Arial" w:cs="Arial"/>
          <w:sz w:val="20"/>
          <w:szCs w:val="20"/>
        </w:rPr>
      </w:pPr>
      <w:r>
        <w:rPr>
          <w:rFonts w:hint="default" w:ascii="Arial" w:hAnsi="Arial" w:cs="Arial"/>
          <w:sz w:val="20"/>
          <w:szCs w:val="20"/>
        </w:rPr>
        <w:t>Menzolit GmbH. Product information: menzolit® BMC 3100. — Heidelberg: Menzolit GmbH, 2014. — 6 p.</w:t>
      </w:r>
    </w:p>
    <w:p w14:paraId="7F26066F">
      <w:pPr>
        <w:pStyle w:val="31"/>
        <w:numPr>
          <w:ilvl w:val="0"/>
          <w:numId w:val="3"/>
        </w:numPr>
        <w:jc w:val="both"/>
        <w:rPr>
          <w:rFonts w:hint="default" w:ascii="Arial" w:hAnsi="Arial" w:cs="Arial"/>
          <w:sz w:val="20"/>
          <w:szCs w:val="20"/>
        </w:rPr>
      </w:pPr>
      <w:r>
        <w:rPr>
          <w:rFonts w:hint="default" w:ascii="Arial" w:hAnsi="Arial" w:cs="Arial"/>
          <w:sz w:val="20"/>
          <w:szCs w:val="20"/>
        </w:rPr>
        <w:t>LookPolymers. Menzolit BMC 3100 unsaturated polyester UP datasheet [</w:t>
      </w:r>
      <w:r>
        <w:rPr>
          <w:rFonts w:hint="default" w:ascii="Arial" w:hAnsi="Arial"/>
          <w:sz w:val="20"/>
          <w:szCs w:val="20"/>
        </w:rPr>
        <w:t>Electronic resource</w:t>
      </w:r>
      <w:r>
        <w:rPr>
          <w:rFonts w:hint="default" w:ascii="Arial" w:hAnsi="Arial" w:cs="Arial"/>
          <w:sz w:val="20"/>
          <w:szCs w:val="20"/>
        </w:rPr>
        <w:t xml:space="preserve">]. — </w:t>
      </w:r>
      <w:r>
        <w:rPr>
          <w:rFonts w:hint="default" w:ascii="Arial" w:hAnsi="Arial"/>
          <w:sz w:val="20"/>
          <w:szCs w:val="20"/>
        </w:rPr>
        <w:t>Access mode</w:t>
      </w:r>
      <w:r>
        <w:rPr>
          <w:rFonts w:hint="default" w:ascii="Arial" w:hAnsi="Arial" w:cs="Arial"/>
          <w:sz w:val="20"/>
          <w:szCs w:val="20"/>
        </w:rPr>
        <w:t>: https://www.lookpolymers.com</w:t>
      </w:r>
    </w:p>
    <w:p w14:paraId="4AC51182">
      <w:pPr>
        <w:ind w:firstLine="708"/>
        <w:jc w:val="both"/>
        <w:rPr>
          <w:rFonts w:hint="default" w:ascii="Arial" w:hAnsi="Arial" w:cs="Arial"/>
          <w:sz w:val="20"/>
          <w:szCs w:val="20"/>
          <w:lang w:val="ru-RU"/>
        </w:rPr>
      </w:pPr>
      <w:r>
        <w:rPr>
          <w:rFonts w:hint="default" w:ascii="Arial" w:hAnsi="Arial" w:cs="Arial"/>
          <w:sz w:val="20"/>
          <w:szCs w:val="20"/>
        </w:rPr>
        <w:t xml:space="preserve"> </w:t>
      </w:r>
      <w:r>
        <w:rPr>
          <w:rFonts w:hint="default" w:ascii="Arial" w:hAnsi="Arial" w:cs="Arial"/>
          <w:sz w:val="20"/>
          <w:szCs w:val="20"/>
          <w:lang w:val="ru-RU"/>
        </w:rPr>
        <w:t>(дата обращения: 16.04.2026).</w:t>
      </w:r>
    </w:p>
    <w:p w14:paraId="6FA65BF3">
      <w:pPr>
        <w:pStyle w:val="31"/>
        <w:numPr>
          <w:ilvl w:val="0"/>
          <w:numId w:val="3"/>
        </w:numPr>
        <w:jc w:val="both"/>
        <w:rPr>
          <w:rFonts w:hint="default" w:ascii="Arial" w:hAnsi="Arial" w:cs="Arial"/>
          <w:sz w:val="20"/>
          <w:szCs w:val="20"/>
          <w:lang w:val="ru-RU"/>
        </w:rPr>
      </w:pPr>
      <w:r>
        <w:rPr>
          <w:rFonts w:hint="default" w:ascii="Arial" w:hAnsi="Arial" w:cs="Arial"/>
          <w:sz w:val="20"/>
          <w:szCs w:val="20"/>
          <w:lang w:val="ru-RU"/>
        </w:rPr>
        <w:t xml:space="preserve">Mengdibayev N.B., </w:t>
      </w:r>
      <w:r>
        <w:rPr>
          <w:rFonts w:hint="default" w:ascii="Arial" w:hAnsi="Arial" w:cs="Arial"/>
          <w:sz w:val="20"/>
          <w:szCs w:val="20"/>
          <w:lang w:val="en-US"/>
        </w:rPr>
        <w:t>J</w:t>
      </w:r>
      <w:r>
        <w:rPr>
          <w:rFonts w:hint="default" w:ascii="Arial" w:hAnsi="Arial" w:cs="Arial"/>
          <w:sz w:val="20"/>
          <w:szCs w:val="20"/>
          <w:lang w:val="ru-RU"/>
        </w:rPr>
        <w:t xml:space="preserve">uraev A.B., Alimuhamedov M.G. </w:t>
      </w:r>
      <w:r>
        <w:rPr>
          <w:rFonts w:hint="default" w:ascii="Arial" w:hAnsi="Arial"/>
          <w:sz w:val="20"/>
          <w:szCs w:val="20"/>
          <w:lang w:val="ru-RU"/>
        </w:rPr>
        <w:t>Identification of constituent compositions for the production of passenger car reflectors</w:t>
      </w:r>
      <w:r>
        <w:rPr>
          <w:rFonts w:hint="default" w:ascii="Arial" w:hAnsi="Arial" w:cs="Arial"/>
          <w:sz w:val="20"/>
          <w:szCs w:val="20"/>
          <w:lang w:val="ru-RU"/>
        </w:rPr>
        <w:t xml:space="preserve"> // Universum: </w:t>
      </w:r>
      <w:r>
        <w:rPr>
          <w:rFonts w:hint="default" w:ascii="Arial" w:hAnsi="Arial"/>
          <w:sz w:val="20"/>
          <w:szCs w:val="20"/>
          <w:lang w:val="ru-RU"/>
        </w:rPr>
        <w:t>technical sciences</w:t>
      </w:r>
      <w:r>
        <w:rPr>
          <w:rFonts w:hint="default" w:ascii="Arial" w:hAnsi="Arial" w:cs="Arial"/>
          <w:sz w:val="20"/>
          <w:szCs w:val="20"/>
          <w:lang w:val="ru-RU"/>
        </w:rPr>
        <w:t>. — 2022. — № 10(103). — С. 15–19.</w:t>
      </w:r>
    </w:p>
    <w:p w14:paraId="1E880D9A">
      <w:pPr>
        <w:pStyle w:val="31"/>
        <w:numPr>
          <w:ilvl w:val="0"/>
          <w:numId w:val="3"/>
        </w:numPr>
        <w:jc w:val="both"/>
        <w:rPr>
          <w:rFonts w:hint="default" w:ascii="Arial" w:hAnsi="Arial" w:cs="Arial"/>
          <w:sz w:val="20"/>
          <w:szCs w:val="20"/>
          <w:lang w:val="ru-RU"/>
        </w:rPr>
      </w:pPr>
      <w:r>
        <w:rPr>
          <w:rFonts w:hint="default" w:ascii="Arial" w:hAnsi="Arial" w:eastAsia="SimSun" w:cs="Arial"/>
          <w:sz w:val="20"/>
          <w:szCs w:val="20"/>
        </w:rPr>
        <w:t xml:space="preserve">Vinogradova S.V., Korshak V.V. Polycondensation processes and polymers. Moscow: </w:t>
      </w:r>
      <w:r>
        <w:rPr>
          <w:rFonts w:hint="default" w:ascii="Arial" w:hAnsi="Arial" w:eastAsia="SimSun"/>
          <w:sz w:val="20"/>
          <w:szCs w:val="20"/>
        </w:rPr>
        <w:t xml:space="preserve"> </w:t>
      </w:r>
      <w:r>
        <w:rPr>
          <w:rFonts w:hint="default" w:ascii="Arial" w:hAnsi="Arial" w:eastAsia="SimSun"/>
          <w:sz w:val="20"/>
          <w:szCs w:val="20"/>
          <w:lang w:val="en-US"/>
        </w:rPr>
        <w:t>S</w:t>
      </w:r>
      <w:r>
        <w:rPr>
          <w:rFonts w:hint="default" w:ascii="Arial" w:hAnsi="Arial" w:eastAsia="SimSun"/>
          <w:sz w:val="20"/>
          <w:szCs w:val="20"/>
        </w:rPr>
        <w:t>cience</w:t>
      </w:r>
      <w:r>
        <w:rPr>
          <w:rFonts w:hint="default" w:ascii="Arial" w:hAnsi="Arial" w:eastAsia="SimSun"/>
          <w:sz w:val="20"/>
          <w:szCs w:val="20"/>
          <w:lang w:val="en-US"/>
        </w:rPr>
        <w:t xml:space="preserve"> </w:t>
      </w:r>
      <w:r>
        <w:rPr>
          <w:rFonts w:hint="default" w:ascii="Arial" w:hAnsi="Arial" w:eastAsia="SimSun" w:cs="Arial"/>
          <w:sz w:val="20"/>
          <w:szCs w:val="20"/>
        </w:rPr>
        <w:t>Publ., 2000, 320 p.</w:t>
      </w:r>
    </w:p>
    <w:p w14:paraId="5B6B45CC">
      <w:pPr>
        <w:pStyle w:val="31"/>
        <w:numPr>
          <w:ilvl w:val="0"/>
          <w:numId w:val="3"/>
        </w:numPr>
        <w:jc w:val="both"/>
        <w:rPr>
          <w:rFonts w:hint="default" w:ascii="Arial" w:hAnsi="Arial" w:cs="Arial"/>
          <w:sz w:val="20"/>
          <w:szCs w:val="20"/>
          <w:lang w:val="ru-RU"/>
        </w:rPr>
      </w:pPr>
      <w:r>
        <w:rPr>
          <w:rFonts w:hint="default" w:ascii="Arial" w:hAnsi="Arial"/>
          <w:sz w:val="20"/>
          <w:szCs w:val="20"/>
          <w:lang w:val="ru-RU"/>
        </w:rPr>
        <w:t>GOST 25210-82. Polyester resins. The method of determining the acid number. — M.: Publishing House of standards, 1982. — 8 p.</w:t>
      </w:r>
    </w:p>
    <w:p w14:paraId="40B1D89B">
      <w:pPr>
        <w:pStyle w:val="31"/>
        <w:numPr>
          <w:ilvl w:val="0"/>
          <w:numId w:val="3"/>
        </w:numPr>
        <w:jc w:val="both"/>
        <w:rPr>
          <w:rFonts w:hint="default" w:ascii="Arial" w:hAnsi="Arial" w:cs="Arial"/>
          <w:sz w:val="20"/>
          <w:szCs w:val="20"/>
          <w:lang w:val="ru-RU"/>
        </w:rPr>
      </w:pPr>
      <w:r>
        <w:rPr>
          <w:rFonts w:hint="default" w:ascii="Arial" w:hAnsi="Arial"/>
          <w:sz w:val="20"/>
          <w:szCs w:val="20"/>
          <w:lang w:val="ru-RU"/>
        </w:rPr>
        <w:t>GOST 8420-74. Paint and varnish materials. The method of determining conditional viscosity. — M.: Publishing House of standards, 1974. — 10 p.</w:t>
      </w:r>
    </w:p>
    <w:p w14:paraId="71B03EA5">
      <w:pPr>
        <w:pStyle w:val="31"/>
        <w:numPr>
          <w:ilvl w:val="0"/>
          <w:numId w:val="3"/>
        </w:numPr>
        <w:jc w:val="both"/>
        <w:rPr>
          <w:rFonts w:hint="default" w:ascii="Arial" w:hAnsi="Arial" w:cs="Arial"/>
          <w:sz w:val="20"/>
          <w:szCs w:val="20"/>
          <w:lang w:val="ru-RU"/>
        </w:rPr>
      </w:pPr>
      <w:r>
        <w:rPr>
          <w:rFonts w:hint="default" w:ascii="Arial" w:hAnsi="Arial"/>
          <w:sz w:val="20"/>
          <w:szCs w:val="20"/>
          <w:lang w:val="ru-RU"/>
        </w:rPr>
        <w:t>GOST 22181-2015. Synthetic resins. A method for determining gelatinization time. M</w:t>
      </w:r>
      <w:r>
        <w:rPr>
          <w:rFonts w:hint="default" w:ascii="Arial" w:hAnsi="Arial"/>
          <w:sz w:val="20"/>
          <w:szCs w:val="20"/>
          <w:lang w:val="en-US"/>
        </w:rPr>
        <w:t>.</w:t>
      </w:r>
      <w:r>
        <w:rPr>
          <w:rFonts w:hint="default" w:ascii="Arial" w:hAnsi="Arial"/>
          <w:sz w:val="20"/>
          <w:szCs w:val="20"/>
          <w:lang w:val="ru-RU"/>
        </w:rPr>
        <w:t>: Standartinform, 2015.</w:t>
      </w:r>
      <w:r>
        <w:rPr>
          <w:rFonts w:hint="default" w:ascii="Arial" w:hAnsi="Arial"/>
          <w:sz w:val="20"/>
          <w:szCs w:val="20"/>
          <w:lang w:val="en-US"/>
        </w:rPr>
        <w:t xml:space="preserve"> </w:t>
      </w:r>
      <w:r>
        <w:rPr>
          <w:rFonts w:hint="default" w:ascii="Arial" w:hAnsi="Arial"/>
          <w:sz w:val="20"/>
          <w:szCs w:val="20"/>
          <w:lang w:val="ru-RU"/>
        </w:rPr>
        <w:t>— 12 p.</w:t>
      </w:r>
    </w:p>
    <w:p w14:paraId="06C502DB">
      <w:pPr>
        <w:pStyle w:val="31"/>
        <w:numPr>
          <w:ilvl w:val="0"/>
          <w:numId w:val="3"/>
        </w:numPr>
        <w:jc w:val="both"/>
        <w:rPr>
          <w:rFonts w:hint="default" w:ascii="Arial" w:hAnsi="Arial" w:cs="Arial"/>
          <w:sz w:val="20"/>
          <w:szCs w:val="20"/>
          <w:lang w:val="ru-RU"/>
        </w:rPr>
      </w:pPr>
      <w:r>
        <w:rPr>
          <w:rFonts w:hint="default" w:ascii="Arial" w:hAnsi="Arial"/>
          <w:sz w:val="20"/>
          <w:szCs w:val="20"/>
          <w:lang w:val="ru-RU"/>
        </w:rPr>
        <w:t>GOST 21970-2015. Polyester resins. The method of determining the parameters of curing. — M.: Standartinform, 2015. — 14 p.</w:t>
      </w:r>
    </w:p>
    <w:p w14:paraId="444C737B">
      <w:pPr>
        <w:pStyle w:val="31"/>
        <w:numPr>
          <w:ilvl w:val="0"/>
          <w:numId w:val="3"/>
        </w:numPr>
        <w:jc w:val="both"/>
        <w:rPr>
          <w:rFonts w:hint="default" w:ascii="Arial" w:hAnsi="Arial" w:cs="Arial"/>
          <w:sz w:val="20"/>
          <w:szCs w:val="20"/>
          <w:lang w:val="ru-RU"/>
        </w:rPr>
      </w:pPr>
      <w:r>
        <w:rPr>
          <w:rFonts w:hint="default" w:ascii="Arial" w:hAnsi="Arial"/>
          <w:sz w:val="20"/>
          <w:szCs w:val="20"/>
          <w:lang w:val="ru-RU"/>
        </w:rPr>
        <w:t>GOST 31939-2022. Polymer materials. The method of determining the dry residue. — M.: Standartinform, 2022. — 10 p.</w:t>
      </w:r>
    </w:p>
    <w:p w14:paraId="47B0528B">
      <w:pPr>
        <w:pStyle w:val="31"/>
        <w:numPr>
          <w:ilvl w:val="0"/>
          <w:numId w:val="3"/>
        </w:numPr>
        <w:jc w:val="both"/>
        <w:rPr>
          <w:rFonts w:hint="default" w:ascii="Arial" w:hAnsi="Arial" w:cs="Arial"/>
          <w:sz w:val="20"/>
          <w:szCs w:val="20"/>
        </w:rPr>
      </w:pPr>
      <w:r>
        <w:rPr>
          <w:rFonts w:hint="default" w:ascii="Arial" w:hAnsi="Arial"/>
          <w:sz w:val="20"/>
          <w:szCs w:val="20"/>
        </w:rPr>
        <w:t>GOST 27952-88. Unsaturated polyester resins. Technical specifications. — M.: Publishing House of standards, 1989. — 10 p.</w:t>
      </w:r>
    </w:p>
    <w:p w14:paraId="609E953A">
      <w:pPr>
        <w:pStyle w:val="31"/>
        <w:numPr>
          <w:ilvl w:val="0"/>
          <w:numId w:val="3"/>
        </w:numPr>
        <w:jc w:val="both"/>
        <w:rPr>
          <w:rFonts w:hint="default" w:ascii="Arial" w:hAnsi="Arial" w:cs="Arial"/>
          <w:sz w:val="20"/>
          <w:szCs w:val="20"/>
        </w:rPr>
      </w:pPr>
      <w:r>
        <w:rPr>
          <w:rFonts w:hint="default" w:ascii="Arial" w:hAnsi="Arial" w:cs="Arial"/>
          <w:sz w:val="20"/>
          <w:szCs w:val="20"/>
        </w:rPr>
        <w:t>Stuart B. Infrared spectroscopy: fundamentals and applications. — Chichester: Wiley, 2004. — 224 p.</w:t>
      </w:r>
    </w:p>
    <w:p w14:paraId="46080EE6">
      <w:pPr>
        <w:pStyle w:val="31"/>
        <w:numPr>
          <w:ilvl w:val="0"/>
          <w:numId w:val="3"/>
        </w:numPr>
        <w:jc w:val="both"/>
        <w:rPr>
          <w:rFonts w:hint="default" w:ascii="Arial" w:hAnsi="Arial" w:cs="Arial"/>
          <w:sz w:val="20"/>
          <w:szCs w:val="20"/>
          <w:lang w:val="ru-RU"/>
        </w:rPr>
      </w:pPr>
      <w:r>
        <w:rPr>
          <w:rFonts w:hint="default" w:ascii="Arial" w:hAnsi="Arial"/>
          <w:sz w:val="20"/>
          <w:szCs w:val="20"/>
          <w:lang w:val="ru-RU"/>
        </w:rPr>
        <w:t>GOST R 57941-2017. Polymers. Infrared spectroscopy. General requirements. — M.: Standartinform, 2017. — 16 p.</w:t>
      </w:r>
    </w:p>
    <w:p w14:paraId="594453D0">
      <w:pPr>
        <w:pStyle w:val="31"/>
        <w:numPr>
          <w:ilvl w:val="0"/>
          <w:numId w:val="3"/>
        </w:numPr>
        <w:jc w:val="both"/>
        <w:rPr>
          <w:rFonts w:hint="default" w:ascii="Arial" w:hAnsi="Arial" w:cs="Arial"/>
          <w:sz w:val="20"/>
          <w:szCs w:val="20"/>
          <w:lang w:val="ru-RU"/>
        </w:rPr>
      </w:pPr>
      <w:r>
        <w:rPr>
          <w:rFonts w:hint="default" w:ascii="Arial" w:hAnsi="Arial"/>
          <w:sz w:val="20"/>
          <w:szCs w:val="20"/>
          <w:lang w:val="ru-RU"/>
        </w:rPr>
        <w:t>Tager A.A. Physico-chemistry of polymers. — M.: Scientific world, 2007. — 576 p.</w:t>
      </w:r>
    </w:p>
    <w:p w14:paraId="365DBA75">
      <w:pPr>
        <w:pStyle w:val="31"/>
        <w:numPr>
          <w:ilvl w:val="0"/>
          <w:numId w:val="3"/>
        </w:numPr>
        <w:jc w:val="both"/>
        <w:rPr>
          <w:rFonts w:hint="default" w:ascii="Arial" w:hAnsi="Arial" w:cs="Arial"/>
          <w:sz w:val="20"/>
          <w:szCs w:val="20"/>
          <w:lang w:val="ru-RU"/>
        </w:rPr>
      </w:pPr>
      <w:r>
        <w:rPr>
          <w:rFonts w:hint="default" w:ascii="Arial" w:hAnsi="Arial"/>
          <w:sz w:val="20"/>
          <w:szCs w:val="20"/>
          <w:lang w:val="ru-RU"/>
        </w:rPr>
        <w:t>Schwartz O., Ebeling F., Furth B. Polymer materials: structure, properties, and application.  St. Petersburg: Profession, 2004. 320 p.</w:t>
      </w:r>
    </w:p>
    <w:p w14:paraId="58EBD15F">
      <w:pPr>
        <w:pStyle w:val="31"/>
        <w:numPr>
          <w:ilvl w:val="0"/>
          <w:numId w:val="3"/>
        </w:numPr>
        <w:jc w:val="both"/>
        <w:rPr>
          <w:rFonts w:hint="default" w:ascii="Arial" w:hAnsi="Arial" w:cs="Arial"/>
          <w:sz w:val="20"/>
          <w:szCs w:val="20"/>
          <w:lang w:val="ru-RU"/>
        </w:rPr>
      </w:pPr>
      <w:r>
        <w:rPr>
          <w:rFonts w:hint="default" w:ascii="Arial" w:hAnsi="Arial"/>
          <w:sz w:val="20"/>
          <w:szCs w:val="20"/>
          <w:lang w:val="ru-RU"/>
        </w:rPr>
        <w:t xml:space="preserve"> Asror Juraev, Muzafar Alimukhamudov, Farhad Magrupov, Aziza Rakhmatullayeva, Oishabonu Erkinova. Investigation by IR spectral methods of curing unsaturated polyesters based on secondary polyethylene terephthalate obtained under production conditions. Chemical Engineering. </w:t>
      </w:r>
      <w:r>
        <w:rPr>
          <w:rFonts w:hint="default" w:ascii="Arial" w:hAnsi="Arial" w:cs="Arial"/>
          <w:sz w:val="20"/>
          <w:szCs w:val="20"/>
          <w:lang w:val="ru-RU"/>
        </w:rPr>
        <w:t xml:space="preserve">№3. – </w:t>
      </w:r>
      <w:r>
        <w:rPr>
          <w:rFonts w:hint="default" w:ascii="Arial" w:hAnsi="Arial" w:cs="Arial"/>
          <w:sz w:val="20"/>
          <w:szCs w:val="20"/>
          <w:lang w:val="en-US"/>
        </w:rPr>
        <w:t>p</w:t>
      </w:r>
      <w:r>
        <w:rPr>
          <w:rFonts w:hint="default" w:ascii="Arial" w:hAnsi="Arial" w:cs="Arial"/>
          <w:sz w:val="20"/>
          <w:szCs w:val="20"/>
          <w:lang w:val="ru-RU"/>
        </w:rPr>
        <w:t>. 26-31. DOI: 10.34920/cce202234.</w:t>
      </w:r>
    </w:p>
    <w:p w14:paraId="32529CB4">
      <w:pPr>
        <w:pStyle w:val="31"/>
        <w:numPr>
          <w:ilvl w:val="0"/>
          <w:numId w:val="3"/>
        </w:numPr>
        <w:jc w:val="both"/>
        <w:rPr>
          <w:rFonts w:hint="default" w:ascii="Arial" w:hAnsi="Arial" w:cs="Arial"/>
          <w:sz w:val="20"/>
          <w:szCs w:val="20"/>
          <w:lang w:val="ru-RU"/>
        </w:rPr>
      </w:pPr>
      <w:r>
        <w:rPr>
          <w:rFonts w:hint="default" w:ascii="Arial" w:hAnsi="Arial" w:cs="Arial"/>
          <w:sz w:val="20"/>
          <w:szCs w:val="20"/>
          <w:lang w:val="ru-RU"/>
        </w:rPr>
        <w:t xml:space="preserve"> Juraev A.B., Alimuxamedov M.G., Magrupov F.A., Adilov R.I., Nizomov T.A. Synthesis and Research of tube-purposed unsaturated Polyethers of alcoholysis of secondary Polyethylene Terephthalate // Kautschuk Gummi Kunststoffe, 2017, – №6. – Р. 70-74.</w:t>
      </w:r>
    </w:p>
    <w:sectPr>
      <w:pgSz w:w="11906" w:h="16838"/>
      <w:pgMar w:top="1701" w:right="1417" w:bottom="1701"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Times New Roma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AMGDT"/>
    <w:panose1 w:val="00000000000000000000"/>
    <w:charset w:val="00"/>
    <w:family w:val="auto"/>
    <w:pitch w:val="default"/>
    <w:sig w:usb0="00000000" w:usb1="00000000" w:usb2="00000000" w:usb3="00000000" w:csb0="00040001" w:csb1="00000000"/>
  </w:font>
  <w:font w:name="AMGDT">
    <w:panose1 w:val="02000400000000000000"/>
    <w:charset w:val="00"/>
    <w:family w:val="auto"/>
    <w:pitch w:val="default"/>
    <w:sig w:usb0="80000003" w:usb1="10000000" w:usb2="00000000" w:usb3="00000000" w:csb0="00000001"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BA700B"/>
    <w:multiLevelType w:val="singleLevel"/>
    <w:tmpl w:val="27BA700B"/>
    <w:lvl w:ilvl="0" w:tentative="0">
      <w:start w:val="1"/>
      <w:numFmt w:val="decimal"/>
      <w:suff w:val="space"/>
      <w:lvlText w:val="%1."/>
      <w:lvlJc w:val="left"/>
    </w:lvl>
  </w:abstractNum>
  <w:abstractNum w:abstractNumId="1">
    <w:nsid w:val="611E17A6"/>
    <w:multiLevelType w:val="singleLevel"/>
    <w:tmpl w:val="611E17A6"/>
    <w:lvl w:ilvl="0" w:tentative="0">
      <w:start w:val="1"/>
      <w:numFmt w:val="decimal"/>
      <w:suff w:val="space"/>
      <w:lvlText w:val="%1."/>
      <w:lvlJc w:val="left"/>
    </w:lvl>
  </w:abstractNum>
  <w:abstractNum w:abstractNumId="2">
    <w:nsid w:val="758E14FC"/>
    <w:multiLevelType w:val="multilevel"/>
    <w:tmpl w:val="758E14FC"/>
    <w:lvl w:ilvl="0" w:tentative="0">
      <w:start w:val="1"/>
      <w:numFmt w:val="decimal"/>
      <w:lvlText w:val="%1)"/>
      <w:lvlJc w:val="left"/>
      <w:pPr>
        <w:ind w:left="928" w:hanging="360"/>
      </w:pPr>
      <w:rPr>
        <w:rFonts w:hint="default"/>
      </w:r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6"/>
  <w:bordersDoNotSurroundHeader w:val="0"/>
  <w:bordersDoNotSurroundFooter w:val="0"/>
  <w:documentProtection w:enforcement="0"/>
  <w:defaultTabStop w:val="708"/>
  <w:hyphenationZone w:val="36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ADB"/>
    <w:rsid w:val="00085CD6"/>
    <w:rsid w:val="0015107C"/>
    <w:rsid w:val="00235967"/>
    <w:rsid w:val="002C3241"/>
    <w:rsid w:val="002C6BF0"/>
    <w:rsid w:val="003F4207"/>
    <w:rsid w:val="0046188D"/>
    <w:rsid w:val="00645A46"/>
    <w:rsid w:val="007A5D6C"/>
    <w:rsid w:val="007C1380"/>
    <w:rsid w:val="009B70E7"/>
    <w:rsid w:val="00A343B3"/>
    <w:rsid w:val="00B004F6"/>
    <w:rsid w:val="00B46ADB"/>
    <w:rsid w:val="00B834F1"/>
    <w:rsid w:val="00C376B1"/>
    <w:rsid w:val="00C4545A"/>
    <w:rsid w:val="00D15592"/>
    <w:rsid w:val="00D42C66"/>
    <w:rsid w:val="00D562A2"/>
    <w:rsid w:val="00E15AFD"/>
    <w:rsid w:val="00E27FFD"/>
    <w:rsid w:val="00E97C59"/>
    <w:rsid w:val="00EF1DE7"/>
    <w:rsid w:val="153B6666"/>
    <w:rsid w:val="1B3160E2"/>
    <w:rsid w:val="1B477DCF"/>
    <w:rsid w:val="1CC44174"/>
    <w:rsid w:val="4C7F6CE0"/>
    <w:rsid w:val="4E346B47"/>
    <w:rsid w:val="527350D1"/>
    <w:rsid w:val="605711E6"/>
    <w:rsid w:val="73B61F92"/>
    <w:rsid w:val="7E4B2A7D"/>
    <w:rsid w:val="7FDB19B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ascii="Calibri" w:hAnsi="Calibri" w:eastAsia="SimSun" w:cs="Times New Roman"/>
      <w:lang w:val="en-US" w:eastAsia="zh-CN" w:bidi="ar-SA"/>
    </w:rPr>
  </w:style>
  <w:style w:type="paragraph" w:styleId="2">
    <w:name w:val="heading 1"/>
    <w:basedOn w:val="1"/>
    <w:next w:val="1"/>
    <w:link w:val="18"/>
    <w:qFormat/>
    <w:uiPriority w:val="9"/>
    <w:pPr>
      <w:keepNext/>
      <w:keepLines/>
      <w:spacing w:before="360" w:after="80"/>
      <w:outlineLvl w:val="0"/>
    </w:pPr>
    <w:rPr>
      <w:rFonts w:ascii="Calibri Light" w:hAnsi="Calibri Light" w:eastAsia="等线 Light" w:cs="Times New Roman"/>
      <w:color w:val="2F5496"/>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Calibri Light" w:hAnsi="Calibri Light" w:eastAsia="等线 Light" w:cs="Times New Roman"/>
      <w:color w:val="2F5496"/>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等线 Light" w:cs="Times New Roman"/>
      <w:color w:val="2F5496"/>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等线 Light" w:cs="Times New Roman"/>
      <w:i/>
      <w:iCs/>
      <w:color w:val="2F5496"/>
    </w:rPr>
  </w:style>
  <w:style w:type="paragraph" w:styleId="6">
    <w:name w:val="heading 5"/>
    <w:basedOn w:val="1"/>
    <w:next w:val="1"/>
    <w:link w:val="22"/>
    <w:semiHidden/>
    <w:unhideWhenUsed/>
    <w:qFormat/>
    <w:uiPriority w:val="9"/>
    <w:pPr>
      <w:keepNext/>
      <w:keepLines/>
      <w:spacing w:before="80" w:after="40"/>
      <w:outlineLvl w:val="4"/>
    </w:pPr>
    <w:rPr>
      <w:rFonts w:eastAsia="等线 Light" w:cs="Times New Roman"/>
      <w:color w:val="2F5496"/>
    </w:rPr>
  </w:style>
  <w:style w:type="paragraph" w:styleId="7">
    <w:name w:val="heading 6"/>
    <w:basedOn w:val="1"/>
    <w:next w:val="1"/>
    <w:link w:val="23"/>
    <w:semiHidden/>
    <w:unhideWhenUsed/>
    <w:qFormat/>
    <w:uiPriority w:val="9"/>
    <w:pPr>
      <w:keepNext/>
      <w:keepLines/>
      <w:spacing w:before="40"/>
      <w:outlineLvl w:val="5"/>
    </w:pPr>
    <w:rPr>
      <w:rFonts w:eastAsia="等线 Light" w:cs="Times New Roman"/>
      <w:i/>
      <w:iCs/>
      <w:color w:val="000000"/>
    </w:rPr>
  </w:style>
  <w:style w:type="paragraph" w:styleId="8">
    <w:name w:val="heading 7"/>
    <w:basedOn w:val="1"/>
    <w:next w:val="1"/>
    <w:link w:val="24"/>
    <w:semiHidden/>
    <w:unhideWhenUsed/>
    <w:qFormat/>
    <w:uiPriority w:val="9"/>
    <w:pPr>
      <w:keepNext/>
      <w:keepLines/>
      <w:spacing w:before="40"/>
      <w:outlineLvl w:val="6"/>
    </w:pPr>
    <w:rPr>
      <w:rFonts w:eastAsia="等线 Light" w:cs="Times New Roman"/>
      <w:color w:val="000000"/>
    </w:rPr>
  </w:style>
  <w:style w:type="paragraph" w:styleId="9">
    <w:name w:val="heading 8"/>
    <w:basedOn w:val="1"/>
    <w:next w:val="1"/>
    <w:link w:val="25"/>
    <w:semiHidden/>
    <w:unhideWhenUsed/>
    <w:qFormat/>
    <w:uiPriority w:val="9"/>
    <w:pPr>
      <w:keepNext/>
      <w:keepLines/>
      <w:outlineLvl w:val="7"/>
    </w:pPr>
    <w:rPr>
      <w:rFonts w:eastAsia="等线 Light" w:cs="Times New Roman"/>
      <w:i/>
      <w:iCs/>
      <w:color w:val="000000"/>
    </w:rPr>
  </w:style>
  <w:style w:type="paragraph" w:styleId="10">
    <w:name w:val="heading 9"/>
    <w:basedOn w:val="1"/>
    <w:next w:val="1"/>
    <w:link w:val="26"/>
    <w:semiHidden/>
    <w:unhideWhenUsed/>
    <w:qFormat/>
    <w:uiPriority w:val="9"/>
    <w:pPr>
      <w:keepNext/>
      <w:keepLines/>
      <w:outlineLvl w:val="8"/>
    </w:pPr>
    <w:rPr>
      <w:rFonts w:eastAsia="等线 Light" w:cs="Times New Roman"/>
      <w:color w:val="000000"/>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Hyperlink"/>
    <w:unhideWhenUsed/>
    <w:qFormat/>
    <w:uiPriority w:val="99"/>
    <w:rPr>
      <w:color w:val="0000FF"/>
      <w:u w:val="single"/>
    </w:rPr>
  </w:style>
  <w:style w:type="paragraph" w:styleId="14">
    <w:name w:val="Title"/>
    <w:basedOn w:val="1"/>
    <w:next w:val="1"/>
    <w:link w:val="27"/>
    <w:qFormat/>
    <w:uiPriority w:val="10"/>
    <w:pPr>
      <w:spacing w:after="80"/>
      <w:contextualSpacing/>
    </w:pPr>
    <w:rPr>
      <w:rFonts w:ascii="Calibri Light" w:hAnsi="Calibri Light" w:eastAsia="等线 Light" w:cs="Times New Roman"/>
      <w:spacing w:val="-10"/>
      <w:kern w:val="28"/>
      <w:sz w:val="56"/>
      <w:szCs w:val="56"/>
    </w:rPr>
  </w:style>
  <w:style w:type="paragraph" w:styleId="15">
    <w:name w:val="Normal (Web)"/>
    <w:basedOn w:val="1"/>
    <w:semiHidden/>
    <w:unhideWhenUsed/>
    <w:qFormat/>
    <w:uiPriority w:val="99"/>
    <w:rPr>
      <w:rFonts w:ascii="Times New Roman" w:hAnsi="Times New Roman"/>
      <w:sz w:val="24"/>
      <w:szCs w:val="24"/>
    </w:rPr>
  </w:style>
  <w:style w:type="paragraph" w:styleId="16">
    <w:name w:val="Subtitle"/>
    <w:basedOn w:val="1"/>
    <w:next w:val="1"/>
    <w:link w:val="28"/>
    <w:qFormat/>
    <w:uiPriority w:val="11"/>
    <w:rPr>
      <w:rFonts w:eastAsia="等线 Light" w:cs="Times New Roman"/>
      <w:color w:val="000000"/>
      <w:spacing w:val="15"/>
      <w:sz w:val="28"/>
      <w:szCs w:val="28"/>
    </w:rPr>
  </w:style>
  <w:style w:type="table" w:styleId="17">
    <w:name w:val="Table Grid"/>
    <w:basedOn w:val="1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Заголовок 1 Знак"/>
    <w:link w:val="2"/>
    <w:qFormat/>
    <w:uiPriority w:val="9"/>
    <w:rPr>
      <w:rFonts w:ascii="Calibri Light" w:hAnsi="Calibri Light" w:eastAsia="等线 Light" w:cs="Times New Roman"/>
      <w:color w:val="2F5496"/>
      <w:sz w:val="40"/>
      <w:szCs w:val="40"/>
    </w:rPr>
  </w:style>
  <w:style w:type="character" w:customStyle="1" w:styleId="19">
    <w:name w:val="Заголовок 2 Знак"/>
    <w:link w:val="3"/>
    <w:semiHidden/>
    <w:qFormat/>
    <w:uiPriority w:val="9"/>
    <w:rPr>
      <w:rFonts w:ascii="Calibri Light" w:hAnsi="Calibri Light" w:eastAsia="等线 Light" w:cs="Times New Roman"/>
      <w:color w:val="2F5496"/>
      <w:sz w:val="32"/>
      <w:szCs w:val="32"/>
    </w:rPr>
  </w:style>
  <w:style w:type="character" w:customStyle="1" w:styleId="20">
    <w:name w:val="Заголовок 3 Знак"/>
    <w:link w:val="4"/>
    <w:semiHidden/>
    <w:qFormat/>
    <w:uiPriority w:val="9"/>
    <w:rPr>
      <w:rFonts w:eastAsia="等线 Light" w:cs="Times New Roman"/>
      <w:color w:val="2F5496"/>
      <w:sz w:val="28"/>
      <w:szCs w:val="28"/>
    </w:rPr>
  </w:style>
  <w:style w:type="character" w:customStyle="1" w:styleId="21">
    <w:name w:val="Заголовок 4 Знак"/>
    <w:link w:val="5"/>
    <w:semiHidden/>
    <w:qFormat/>
    <w:uiPriority w:val="9"/>
    <w:rPr>
      <w:rFonts w:eastAsia="等线 Light" w:cs="Times New Roman"/>
      <w:i/>
      <w:iCs/>
      <w:color w:val="2F5496"/>
    </w:rPr>
  </w:style>
  <w:style w:type="character" w:customStyle="1" w:styleId="22">
    <w:name w:val="Заголовок 5 Знак"/>
    <w:link w:val="6"/>
    <w:semiHidden/>
    <w:qFormat/>
    <w:uiPriority w:val="9"/>
    <w:rPr>
      <w:rFonts w:eastAsia="等线 Light" w:cs="Times New Roman"/>
      <w:color w:val="2F5496"/>
    </w:rPr>
  </w:style>
  <w:style w:type="character" w:customStyle="1" w:styleId="23">
    <w:name w:val="Заголовок 6 Знак"/>
    <w:link w:val="7"/>
    <w:semiHidden/>
    <w:qFormat/>
    <w:uiPriority w:val="9"/>
    <w:rPr>
      <w:rFonts w:eastAsia="等线 Light" w:cs="Times New Roman"/>
      <w:i/>
      <w:iCs/>
      <w:color w:val="000000"/>
    </w:rPr>
  </w:style>
  <w:style w:type="character" w:customStyle="1" w:styleId="24">
    <w:name w:val="Заголовок 7 Знак"/>
    <w:link w:val="8"/>
    <w:semiHidden/>
    <w:qFormat/>
    <w:uiPriority w:val="9"/>
    <w:rPr>
      <w:rFonts w:eastAsia="等线 Light" w:cs="Times New Roman"/>
      <w:color w:val="000000"/>
    </w:rPr>
  </w:style>
  <w:style w:type="character" w:customStyle="1" w:styleId="25">
    <w:name w:val="Заголовок 8 Знак"/>
    <w:link w:val="9"/>
    <w:semiHidden/>
    <w:qFormat/>
    <w:uiPriority w:val="9"/>
    <w:rPr>
      <w:rFonts w:eastAsia="等线 Light" w:cs="Times New Roman"/>
      <w:i/>
      <w:iCs/>
      <w:color w:val="000000"/>
    </w:rPr>
  </w:style>
  <w:style w:type="character" w:customStyle="1" w:styleId="26">
    <w:name w:val="Заголовок 9 Знак"/>
    <w:link w:val="10"/>
    <w:semiHidden/>
    <w:qFormat/>
    <w:uiPriority w:val="9"/>
    <w:rPr>
      <w:rFonts w:eastAsia="等线 Light" w:cs="Times New Roman"/>
      <w:color w:val="000000"/>
    </w:rPr>
  </w:style>
  <w:style w:type="character" w:customStyle="1" w:styleId="27">
    <w:name w:val="Заголовок Знак"/>
    <w:link w:val="14"/>
    <w:qFormat/>
    <w:uiPriority w:val="10"/>
    <w:rPr>
      <w:rFonts w:ascii="Calibri Light" w:hAnsi="Calibri Light" w:eastAsia="等线 Light" w:cs="Times New Roman"/>
      <w:spacing w:val="-10"/>
      <w:kern w:val="28"/>
      <w:sz w:val="56"/>
      <w:szCs w:val="56"/>
    </w:rPr>
  </w:style>
  <w:style w:type="character" w:customStyle="1" w:styleId="28">
    <w:name w:val="Подзаголовок Знак"/>
    <w:link w:val="16"/>
    <w:qFormat/>
    <w:uiPriority w:val="11"/>
    <w:rPr>
      <w:rFonts w:eastAsia="等线 Light" w:cs="Times New Roman"/>
      <w:color w:val="000000"/>
      <w:spacing w:val="15"/>
      <w:sz w:val="28"/>
      <w:szCs w:val="28"/>
    </w:rPr>
  </w:style>
  <w:style w:type="paragraph" w:styleId="29">
    <w:name w:val="Quote"/>
    <w:basedOn w:val="1"/>
    <w:next w:val="1"/>
    <w:link w:val="30"/>
    <w:qFormat/>
    <w:uiPriority w:val="29"/>
    <w:pPr>
      <w:spacing w:before="160"/>
      <w:jc w:val="center"/>
    </w:pPr>
    <w:rPr>
      <w:i/>
      <w:iCs/>
      <w:color w:val="000000"/>
    </w:rPr>
  </w:style>
  <w:style w:type="character" w:customStyle="1" w:styleId="30">
    <w:name w:val="Цитата 2 Знак"/>
    <w:link w:val="29"/>
    <w:qFormat/>
    <w:uiPriority w:val="29"/>
    <w:rPr>
      <w:i/>
      <w:iCs/>
      <w:color w:val="000000"/>
    </w:rPr>
  </w:style>
  <w:style w:type="paragraph" w:styleId="31">
    <w:name w:val="List Paragraph"/>
    <w:basedOn w:val="1"/>
    <w:qFormat/>
    <w:uiPriority w:val="34"/>
    <w:pPr>
      <w:ind w:left="720"/>
      <w:contextualSpacing/>
    </w:pPr>
  </w:style>
  <w:style w:type="character" w:customStyle="1" w:styleId="32">
    <w:name w:val="Сильное выделение1"/>
    <w:qFormat/>
    <w:uiPriority w:val="21"/>
    <w:rPr>
      <w:i/>
      <w:iCs/>
      <w:color w:val="2F5496"/>
    </w:rPr>
  </w:style>
  <w:style w:type="paragraph" w:styleId="33">
    <w:name w:val="Intense Quote"/>
    <w:basedOn w:val="1"/>
    <w:next w:val="1"/>
    <w:link w:val="34"/>
    <w:qFormat/>
    <w:uiPriority w:val="30"/>
    <w:pPr>
      <w:pBdr>
        <w:top w:val="single" w:color="2F5496" w:sz="4" w:space="10"/>
        <w:bottom w:val="single" w:color="2F5496" w:sz="4" w:space="10"/>
      </w:pBdr>
      <w:spacing w:before="360" w:after="360"/>
      <w:ind w:left="864" w:right="864"/>
      <w:jc w:val="center"/>
    </w:pPr>
    <w:rPr>
      <w:i/>
      <w:iCs/>
      <w:color w:val="2F5496"/>
    </w:rPr>
  </w:style>
  <w:style w:type="character" w:customStyle="1" w:styleId="34">
    <w:name w:val="Выделенная цитата Знак"/>
    <w:link w:val="33"/>
    <w:qFormat/>
    <w:uiPriority w:val="30"/>
    <w:rPr>
      <w:i/>
      <w:iCs/>
      <w:color w:val="2F5496"/>
    </w:rPr>
  </w:style>
  <w:style w:type="character" w:customStyle="1" w:styleId="35">
    <w:name w:val="Сильная ссылка1"/>
    <w:qFormat/>
    <w:uiPriority w:val="32"/>
    <w:rPr>
      <w:b/>
      <w:bCs/>
      <w:smallCaps/>
      <w:color w:val="2F5496"/>
      <w:spacing w:val="5"/>
    </w:rPr>
  </w:style>
  <w:style w:type="character" w:customStyle="1" w:styleId="36">
    <w:name w:val="Неразрешенное упоминание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3051</Words>
  <Characters>17528</Characters>
  <Lines>125</Lines>
  <Paragraphs>35</Paragraphs>
  <TotalTime>78</TotalTime>
  <ScaleCrop>false</ScaleCrop>
  <LinksUpToDate>false</LinksUpToDate>
  <CharactersWithSpaces>20636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2026-04-22T12:05:00Z</dcterms:created>
  <dc:creator>Hp</dc:creator>
  <cp:lastModifiedBy>WPS_1780035858</cp:lastModifiedBy>
  <dcterms:modified xsi:type="dcterms:W3CDTF">2026-09-05T08:54:54Z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8469512819C64D789FFAC1A04C6969C9_13</vt:lpwstr>
  </property>
</Properties>
</file>